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29" w:rsidRDefault="001C5D29" w:rsidP="001C5D29">
      <w:pPr>
        <w:pStyle w:val="Nadpis1"/>
        <w:jc w:val="right"/>
        <w:rPr>
          <w:rFonts w:ascii="Arial" w:eastAsia="Times New Roman" w:hAnsi="Arial" w:cs="Arial"/>
          <w:caps/>
          <w:color w:val="auto"/>
          <w:sz w:val="24"/>
          <w:szCs w:val="24"/>
        </w:rPr>
      </w:pPr>
      <w:r>
        <w:rPr>
          <w:rFonts w:ascii="Arial" w:eastAsia="Times New Roman" w:hAnsi="Arial" w:cs="Arial"/>
          <w:caps/>
          <w:color w:val="auto"/>
          <w:sz w:val="24"/>
          <w:szCs w:val="24"/>
        </w:rPr>
        <w:t>č. .............</w:t>
      </w:r>
    </w:p>
    <w:p w:rsidR="001C5D29" w:rsidRDefault="001C5D29" w:rsidP="001C5D29">
      <w:pPr>
        <w:pStyle w:val="Nadpis1"/>
        <w:rPr>
          <w:rFonts w:ascii="Arial" w:eastAsia="Times New Roman" w:hAnsi="Arial" w:cs="Arial"/>
          <w:b w:val="0"/>
          <w:caps/>
          <w:color w:val="auto"/>
          <w:sz w:val="24"/>
        </w:rPr>
      </w:pPr>
      <w:r>
        <w:rPr>
          <w:rFonts w:ascii="Arial" w:eastAsia="Times New Roman" w:hAnsi="Arial" w:cs="Arial"/>
          <w:caps/>
          <w:color w:val="auto"/>
          <w:sz w:val="36"/>
        </w:rPr>
        <w:t>Materiál</w:t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</w:p>
    <w:p w:rsidR="001C5D29" w:rsidRDefault="001C5D29" w:rsidP="001C5D2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 zasedání</w:t>
      </w:r>
      <w:r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Zastupitelstva města Prostějova konané dne 18. 09. 2012</w:t>
      </w:r>
    </w:p>
    <w:p w:rsidR="001C5D29" w:rsidRDefault="001C5D29" w:rsidP="001C5D29"/>
    <w:p w:rsidR="001C5D29" w:rsidRDefault="001C5D29" w:rsidP="001C5D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materiálu: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Rozpočtové opatření kapitoly 90 – správa a údržba majetku města </w:t>
      </w:r>
    </w:p>
    <w:p w:rsidR="001C5D29" w:rsidRDefault="001C5D29" w:rsidP="001C5D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(úprava položek kapitoly)</w:t>
      </w:r>
    </w:p>
    <w:p w:rsidR="001C5D29" w:rsidRDefault="001C5D29" w:rsidP="001C5D29">
      <w:pPr>
        <w:jc w:val="both"/>
        <w:rPr>
          <w:rFonts w:ascii="Arial" w:hAnsi="Arial" w:cs="Arial"/>
          <w:b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Předkládá:</w:t>
      </w:r>
      <w:r>
        <w:rPr>
          <w:rFonts w:ascii="Arial" w:hAnsi="Arial" w:cs="Arial"/>
          <w:sz w:val="18"/>
          <w:szCs w:val="18"/>
        </w:rPr>
        <w:tab/>
        <w:t xml:space="preserve">          Rada města Prostějova</w:t>
      </w:r>
    </w:p>
    <w:p w:rsidR="001C5D29" w:rsidRDefault="001C5D29" w:rsidP="001C5D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Mgr. Jiří Pospíšil, místostarosta města</w:t>
      </w:r>
      <w:r w:rsidR="00692FD9">
        <w:rPr>
          <w:rFonts w:ascii="Arial" w:hAnsi="Arial" w:cs="Arial"/>
          <w:sz w:val="18"/>
          <w:szCs w:val="18"/>
        </w:rPr>
        <w:t>, v.r.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/>
    <w:p w:rsidR="001C5D29" w:rsidRDefault="001C5D29" w:rsidP="001C5D29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Zastupitelstvo města Prostějova </w:t>
      </w:r>
    </w:p>
    <w:p w:rsidR="001C5D29" w:rsidRDefault="001C5D29" w:rsidP="001C5D29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1C5D29" w:rsidRDefault="001C5D29" w:rsidP="001C5D29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rozpočtové opatření, kterým se </w:t>
      </w:r>
    </w:p>
    <w:p w:rsidR="001C5D29" w:rsidRDefault="001C5D29" w:rsidP="001C5D29">
      <w:pPr>
        <w:pStyle w:val="Datum"/>
        <w:tabs>
          <w:tab w:val="left" w:pos="213"/>
          <w:tab w:val="left" w:pos="9142"/>
        </w:tabs>
        <w:ind w:left="53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- snižuje rozpočet příjmů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1C5D29" w:rsidTr="001C5D29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C5D29" w:rsidTr="001C5D29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3.500.000</w:t>
            </w:r>
          </w:p>
        </w:tc>
      </w:tr>
      <w:tr w:rsidR="001C5D29" w:rsidTr="001C5D29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2111 – příjmy z poskytování služeb a výrobků – komunikace; výběr parkovného</w:t>
            </w:r>
          </w:p>
        </w:tc>
      </w:tr>
    </w:tbl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pStyle w:val="Datum"/>
        <w:tabs>
          <w:tab w:val="left" w:pos="213"/>
          <w:tab w:val="left" w:pos="9142"/>
        </w:tabs>
        <w:ind w:left="53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- zvyšuje rozpočet příjmů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1C5D29" w:rsidTr="001C5D29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C5D29" w:rsidTr="001C5D29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84.593</w:t>
            </w:r>
          </w:p>
        </w:tc>
      </w:tr>
      <w:tr w:rsidR="001C5D29" w:rsidTr="001C5D29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2310 – příjmy z prodeje krátkodobého a dlouhodobého majetku; prodej palivového dříví</w:t>
            </w:r>
          </w:p>
        </w:tc>
      </w:tr>
    </w:tbl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zvyšuje rozpočet výdajů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91"/>
        <w:gridCol w:w="124"/>
        <w:gridCol w:w="975"/>
        <w:gridCol w:w="105"/>
        <w:gridCol w:w="993"/>
        <w:gridCol w:w="87"/>
        <w:gridCol w:w="709"/>
        <w:gridCol w:w="74"/>
        <w:gridCol w:w="791"/>
        <w:gridCol w:w="60"/>
        <w:gridCol w:w="1238"/>
        <w:gridCol w:w="38"/>
        <w:gridCol w:w="2310"/>
      </w:tblGrid>
      <w:tr w:rsidR="001C5D29" w:rsidTr="001C5D29">
        <w:trPr>
          <w:cantSplit/>
          <w:trHeight w:val="147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C5D29" w:rsidTr="001C5D29">
        <w:trPr>
          <w:cantSplit/>
          <w:trHeight w:val="208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900200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1C5D29" w:rsidTr="001C5D29">
        <w:trPr>
          <w:cantSplit/>
          <w:trHeight w:val="147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5194 – věcné dary;  odměny školám za sběr papíru</w:t>
            </w:r>
          </w:p>
        </w:tc>
      </w:tr>
      <w:tr w:rsidR="001C5D29" w:rsidTr="001C5D29">
        <w:trPr>
          <w:gridBefore w:val="1"/>
          <w:wBefore w:w="160" w:type="dxa"/>
          <w:cantSplit/>
          <w:trHeight w:val="208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5169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900800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12.500</w:t>
            </w:r>
          </w:p>
        </w:tc>
      </w:tr>
      <w:tr w:rsidR="001C5D29" w:rsidTr="001C5D29">
        <w:trPr>
          <w:gridBefore w:val="1"/>
          <w:wBefore w:w="160" w:type="dxa"/>
          <w:cantSplit/>
          <w:trHeight w:val="147"/>
        </w:trPr>
        <w:tc>
          <w:tcPr>
            <w:tcW w:w="9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C5D29" w:rsidRDefault="001C5D2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zvýšení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5169 – nákup ostatních služeb; poplatek za připojení k distribuční soustavě</w:t>
            </w:r>
          </w:p>
        </w:tc>
      </w:tr>
    </w:tbl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17"/>
        <w:gridCol w:w="1080"/>
        <w:gridCol w:w="1080"/>
        <w:gridCol w:w="783"/>
        <w:gridCol w:w="851"/>
        <w:gridCol w:w="1276"/>
        <w:gridCol w:w="2310"/>
      </w:tblGrid>
      <w:tr w:rsidR="001C5D29" w:rsidTr="001C5D29">
        <w:trPr>
          <w:cantSplit/>
          <w:trHeight w:val="147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1C5D29" w:rsidTr="001C5D29">
        <w:trPr>
          <w:cantSplit/>
          <w:trHeight w:val="208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29" w:rsidRDefault="001C5D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3.427.947</w:t>
            </w:r>
          </w:p>
        </w:tc>
      </w:tr>
      <w:tr w:rsidR="001C5D29" w:rsidTr="001C5D29">
        <w:trPr>
          <w:cantSplit/>
          <w:trHeight w:val="147"/>
        </w:trPr>
        <w:tc>
          <w:tcPr>
            <w:tcW w:w="160" w:type="dxa"/>
          </w:tcPr>
          <w:p w:rsidR="001C5D29" w:rsidRDefault="001C5D2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D29" w:rsidRDefault="001C5D2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snížení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8115 -  Fond rezerv a rozvoje</w:t>
            </w:r>
          </w:p>
        </w:tc>
      </w:tr>
    </w:tbl>
    <w:p w:rsidR="001C5D29" w:rsidRDefault="001C5D29" w:rsidP="001C5D29">
      <w:pPr>
        <w:rPr>
          <w:rFonts w:ascii="Arial" w:hAnsi="Arial" w:cs="Arial"/>
          <w:b/>
          <w:bCs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Důvodová zpráva:</w:t>
      </w:r>
    </w:p>
    <w:p w:rsidR="001C5D29" w:rsidRDefault="001C5D29" w:rsidP="001C5D29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Odbor správy a údržby majetku města Magistrátu města Prostějova předkládá rozpočtové opatření na úpravu příjmových a výdajových položek kapitoly 90 – správa a údržba majetku města. </w:t>
      </w:r>
    </w:p>
    <w:p w:rsidR="001C5D29" w:rsidRDefault="001C5D29" w:rsidP="001C5D29">
      <w:pPr>
        <w:pStyle w:val="Zkladntextodsazen"/>
        <w:spacing w:before="120" w:line="240" w:lineRule="atLea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Úprava příjmové části kapitoly spočívá ve:</w:t>
      </w:r>
      <w:r>
        <w:rPr>
          <w:rFonts w:ascii="Arial" w:hAnsi="Arial" w:cs="Arial"/>
          <w:sz w:val="18"/>
          <w:szCs w:val="18"/>
        </w:rPr>
        <w:br/>
        <w:t xml:space="preserve">-  snížení   příjmů   na   </w:t>
      </w:r>
      <w:proofErr w:type="spellStart"/>
      <w:r>
        <w:rPr>
          <w:rFonts w:ascii="Arial" w:hAnsi="Arial" w:cs="Arial"/>
          <w:sz w:val="18"/>
          <w:szCs w:val="18"/>
        </w:rPr>
        <w:t>pol</w:t>
      </w:r>
      <w:proofErr w:type="spellEnd"/>
      <w:r>
        <w:rPr>
          <w:rFonts w:ascii="Arial" w:hAnsi="Arial" w:cs="Arial"/>
          <w:sz w:val="18"/>
          <w:szCs w:val="18"/>
        </w:rPr>
        <w:t xml:space="preserve">.   2111  o   3.500.000 Kč  –  dosud neproběhla veřejná soutěž na výběr provozovatele </w:t>
      </w:r>
      <w:r>
        <w:rPr>
          <w:rFonts w:ascii="Arial" w:hAnsi="Arial" w:cs="Arial"/>
          <w:sz w:val="18"/>
          <w:szCs w:val="18"/>
        </w:rPr>
        <w:br/>
        <w:t xml:space="preserve">   parkovišť  a   i   pro  letošní  rok  zůstává  v  platnosti smlouva na pronájem veřejných parkovišť se společností </w:t>
      </w:r>
      <w:r>
        <w:rPr>
          <w:rFonts w:ascii="Arial" w:hAnsi="Arial" w:cs="Arial"/>
          <w:sz w:val="18"/>
          <w:szCs w:val="18"/>
        </w:rPr>
        <w:br/>
        <w:t xml:space="preserve">   .A.S.A. TS  Prostějov, s.r.o.,  kdy  uhrazené nájemné činí 1.750.000 Kč a je započítáno do příjmů kapitoly 50 – </w:t>
      </w:r>
      <w:r>
        <w:rPr>
          <w:rFonts w:ascii="Arial" w:hAnsi="Arial" w:cs="Arial"/>
          <w:sz w:val="18"/>
          <w:szCs w:val="18"/>
        </w:rPr>
        <w:br/>
        <w:t xml:space="preserve">   správa a nakládání s majetkem města (</w:t>
      </w:r>
      <w:proofErr w:type="spellStart"/>
      <w:r>
        <w:rPr>
          <w:rFonts w:ascii="Arial" w:hAnsi="Arial" w:cs="Arial"/>
          <w:sz w:val="18"/>
          <w:szCs w:val="18"/>
        </w:rPr>
        <w:t>pol</w:t>
      </w:r>
      <w:proofErr w:type="spellEnd"/>
      <w:r>
        <w:rPr>
          <w:rFonts w:ascii="Arial" w:hAnsi="Arial" w:cs="Arial"/>
          <w:sz w:val="18"/>
          <w:szCs w:val="18"/>
        </w:rPr>
        <w:t>. 2131);</w:t>
      </w:r>
      <w:r>
        <w:rPr>
          <w:rFonts w:ascii="Arial" w:hAnsi="Arial" w:cs="Arial"/>
          <w:sz w:val="18"/>
          <w:szCs w:val="18"/>
        </w:rPr>
        <w:br/>
        <w:t xml:space="preserve">-  zvýšení příjmů na </w:t>
      </w:r>
      <w:proofErr w:type="spellStart"/>
      <w:r>
        <w:rPr>
          <w:rFonts w:ascii="Arial" w:hAnsi="Arial" w:cs="Arial"/>
          <w:sz w:val="18"/>
          <w:szCs w:val="18"/>
        </w:rPr>
        <w:t>pol</w:t>
      </w:r>
      <w:proofErr w:type="spellEnd"/>
      <w:r>
        <w:rPr>
          <w:rFonts w:ascii="Arial" w:hAnsi="Arial" w:cs="Arial"/>
          <w:sz w:val="18"/>
          <w:szCs w:val="18"/>
        </w:rPr>
        <w:t xml:space="preserve"> 2310 o 84.593 Kč – jedná se o příjem za prodej palivového dříví; příjem není v rozpočtu </w:t>
      </w:r>
      <w:r>
        <w:rPr>
          <w:rFonts w:ascii="Arial" w:hAnsi="Arial" w:cs="Arial"/>
          <w:sz w:val="18"/>
          <w:szCs w:val="18"/>
        </w:rPr>
        <w:br/>
        <w:t xml:space="preserve">   plánován, neboť lze jen těžko odhadnout, zda bude v příslušném roce realizován a v jaké výši.</w:t>
      </w:r>
    </w:p>
    <w:p w:rsidR="001C5D29" w:rsidRDefault="001C5D29" w:rsidP="001C5D29">
      <w:pPr>
        <w:pStyle w:val="Zkladntextodsazen"/>
        <w:spacing w:before="120" w:line="240" w:lineRule="atLea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Výdajová část kapitoly:</w:t>
      </w:r>
      <w:r>
        <w:rPr>
          <w:rFonts w:ascii="Arial" w:hAnsi="Arial" w:cs="Arial"/>
          <w:sz w:val="18"/>
          <w:szCs w:val="18"/>
        </w:rPr>
        <w:br/>
        <w:t xml:space="preserve">-  při  úhradě  odměn  školám  za  sběr papíru došlo k nepatrnému překročení schválených finančních prostředků </w:t>
      </w:r>
      <w:r>
        <w:rPr>
          <w:rFonts w:ascii="Arial" w:hAnsi="Arial" w:cs="Arial"/>
          <w:sz w:val="18"/>
          <w:szCs w:val="18"/>
        </w:rPr>
        <w:br/>
        <w:t xml:space="preserve">   (</w:t>
      </w:r>
      <w:proofErr w:type="spellStart"/>
      <w:r>
        <w:rPr>
          <w:rFonts w:ascii="Arial" w:hAnsi="Arial" w:cs="Arial"/>
          <w:sz w:val="18"/>
          <w:szCs w:val="18"/>
        </w:rPr>
        <w:t>pol</w:t>
      </w:r>
      <w:proofErr w:type="spellEnd"/>
      <w:r>
        <w:rPr>
          <w:rFonts w:ascii="Arial" w:hAnsi="Arial" w:cs="Arial"/>
          <w:sz w:val="18"/>
          <w:szCs w:val="18"/>
        </w:rPr>
        <w:t>. 5194) a je třeba položku vyrovnat;</w:t>
      </w:r>
      <w:r>
        <w:rPr>
          <w:rFonts w:ascii="Arial" w:hAnsi="Arial" w:cs="Arial"/>
          <w:sz w:val="18"/>
          <w:szCs w:val="18"/>
        </w:rPr>
        <w:br/>
        <w:t>-  poplatek  za  připojení  k  distribuční  soustavě (</w:t>
      </w:r>
      <w:proofErr w:type="spellStart"/>
      <w:r>
        <w:rPr>
          <w:rFonts w:ascii="Arial" w:hAnsi="Arial" w:cs="Arial"/>
          <w:sz w:val="18"/>
          <w:szCs w:val="18"/>
        </w:rPr>
        <w:t>pol</w:t>
      </w:r>
      <w:proofErr w:type="spellEnd"/>
      <w:r>
        <w:rPr>
          <w:rFonts w:ascii="Arial" w:hAnsi="Arial" w:cs="Arial"/>
          <w:sz w:val="18"/>
          <w:szCs w:val="18"/>
        </w:rPr>
        <w:t xml:space="preserve">. 5169) – výdaj,  který  vyvstal  během  roku  a  který nebyl </w:t>
      </w:r>
      <w:r>
        <w:rPr>
          <w:rFonts w:ascii="Arial" w:hAnsi="Arial" w:cs="Arial"/>
          <w:sz w:val="18"/>
          <w:szCs w:val="18"/>
        </w:rPr>
        <w:br/>
        <w:t xml:space="preserve">   zahrnut v návrhu rozpočtu.</w:t>
      </w:r>
    </w:p>
    <w:p w:rsidR="001C5D29" w:rsidRDefault="001C5D29" w:rsidP="001C5D29">
      <w:pPr>
        <w:pStyle w:val="Zkladntextodsazen"/>
        <w:spacing w:before="120" w:line="240" w:lineRule="atLeast"/>
        <w:ind w:left="0"/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výše uvedeného je předkládáno rozpočtové opatření na úpravu příslušných položek kapitoly 90 – správa a údržba majetku města a snížení rezerv města.</w:t>
      </w:r>
    </w:p>
    <w:p w:rsidR="001C5D29" w:rsidRDefault="001C5D29" w:rsidP="001C5D29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Materiál byl předložen k projednání na schůzi Rady města Prostějova dne 11. 09. 2012 a na schůzi Finančního výboru dne 11. 09. 2012.</w:t>
      </w:r>
    </w:p>
    <w:p w:rsidR="001C5D29" w:rsidRDefault="001C5D29" w:rsidP="001C5D29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Prostějov:       04. 09. 2012  </w:t>
      </w: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Ing. Jaroslav Štěpaník</w:t>
      </w:r>
      <w:r w:rsidR="00692FD9">
        <w:rPr>
          <w:rFonts w:ascii="Arial" w:hAnsi="Arial" w:cs="Arial"/>
          <w:sz w:val="18"/>
          <w:szCs w:val="18"/>
        </w:rPr>
        <w:t>, v.r.</w:t>
      </w: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vedoucí Odboru správy a údržby majetku města</w:t>
      </w: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</w:p>
    <w:p w:rsidR="001C5D29" w:rsidRDefault="001C5D29" w:rsidP="001C5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Renata Hromadová</w:t>
      </w:r>
      <w:r w:rsidR="00692FD9">
        <w:rPr>
          <w:rFonts w:ascii="Arial" w:hAnsi="Arial" w:cs="Arial"/>
          <w:sz w:val="18"/>
          <w:szCs w:val="18"/>
        </w:rPr>
        <w:t>, v.r.</w:t>
      </w:r>
    </w:p>
    <w:p w:rsidR="001C5D29" w:rsidRDefault="001C5D29" w:rsidP="001C5D29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rozpočtář, fakturant Odboru správy a údržby majetku města</w:t>
      </w:r>
    </w:p>
    <w:p w:rsidR="00C571B2" w:rsidRDefault="00C571B2"/>
    <w:sectPr w:rsidR="00C571B2" w:rsidSect="001C5D2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5D29"/>
    <w:rsid w:val="001C5D29"/>
    <w:rsid w:val="006559EB"/>
    <w:rsid w:val="00692FD9"/>
    <w:rsid w:val="00C5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5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1C5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C5D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C5D2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C5D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C5D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C5D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1C5D29"/>
    <w:rPr>
      <w:rFonts w:ascii="Arial" w:hAnsi="Arial"/>
      <w:sz w:val="24"/>
    </w:rPr>
  </w:style>
  <w:style w:type="character" w:customStyle="1" w:styleId="DatumChar">
    <w:name w:val="Datum Char"/>
    <w:basedOn w:val="Standardnpsmoodstavce"/>
    <w:link w:val="Datum"/>
    <w:semiHidden/>
    <w:rsid w:val="001C5D29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Hromadova Renata</dc:creator>
  <cp:keywords/>
  <dc:description/>
  <cp:lastModifiedBy>Hromadova Renata</cp:lastModifiedBy>
  <cp:revision>3</cp:revision>
  <dcterms:created xsi:type="dcterms:W3CDTF">2012-09-04T08:43:00Z</dcterms:created>
  <dcterms:modified xsi:type="dcterms:W3CDTF">2012-09-05T13:37:00Z</dcterms:modified>
</cp:coreProperties>
</file>