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D" w:rsidRPr="00D71B96" w:rsidRDefault="004F79E1" w:rsidP="00D71B96">
      <w:pPr>
        <w:jc w:val="center"/>
        <w:rPr>
          <w:b/>
          <w:sz w:val="28"/>
          <w:szCs w:val="28"/>
        </w:rPr>
      </w:pPr>
      <w:r w:rsidRPr="00D71B96">
        <w:rPr>
          <w:b/>
          <w:sz w:val="28"/>
          <w:szCs w:val="28"/>
        </w:rPr>
        <w:t>Statutární m</w:t>
      </w:r>
      <w:r w:rsidR="00C5229D" w:rsidRPr="00D71B96">
        <w:rPr>
          <w:b/>
          <w:sz w:val="28"/>
          <w:szCs w:val="28"/>
        </w:rPr>
        <w:t>ěsto Prostějov</w:t>
      </w:r>
    </w:p>
    <w:p w:rsidR="003D3623" w:rsidRPr="00D71B96" w:rsidRDefault="003D3623" w:rsidP="00D71B96">
      <w:pPr>
        <w:jc w:val="center"/>
        <w:rPr>
          <w:b/>
          <w:sz w:val="28"/>
          <w:szCs w:val="28"/>
        </w:rPr>
      </w:pPr>
      <w:r w:rsidRPr="00D71B96">
        <w:rPr>
          <w:b/>
          <w:sz w:val="28"/>
          <w:szCs w:val="28"/>
        </w:rPr>
        <w:t xml:space="preserve">Finanční odbor </w:t>
      </w:r>
      <w:proofErr w:type="spellStart"/>
      <w:r w:rsidR="004F79E1" w:rsidRPr="00D71B96">
        <w:rPr>
          <w:b/>
          <w:sz w:val="28"/>
          <w:szCs w:val="28"/>
        </w:rPr>
        <w:t>MMPv</w:t>
      </w:r>
      <w:proofErr w:type="spellEnd"/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b/>
          <w:bCs/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32"/>
          <w:szCs w:val="32"/>
        </w:rPr>
      </w:pPr>
    </w:p>
    <w:p w:rsidR="00C5229D" w:rsidRPr="00666F88" w:rsidRDefault="00C5229D" w:rsidP="00D71B96">
      <w:pPr>
        <w:rPr>
          <w:sz w:val="32"/>
          <w:szCs w:val="32"/>
        </w:rPr>
      </w:pPr>
    </w:p>
    <w:p w:rsidR="00C5229D" w:rsidRPr="00666F88" w:rsidRDefault="00663E5B" w:rsidP="00D71B96">
      <w:pPr>
        <w:jc w:val="center"/>
        <w:rPr>
          <w:b/>
          <w:bCs/>
          <w:sz w:val="32"/>
          <w:szCs w:val="32"/>
        </w:rPr>
      </w:pPr>
      <w:r w:rsidRPr="00666F88">
        <w:rPr>
          <w:b/>
          <w:bCs/>
          <w:sz w:val="32"/>
          <w:szCs w:val="32"/>
        </w:rPr>
        <w:t>Zá</w:t>
      </w:r>
      <w:r w:rsidR="00C5229D" w:rsidRPr="00666F88">
        <w:rPr>
          <w:b/>
          <w:bCs/>
          <w:sz w:val="32"/>
          <w:szCs w:val="32"/>
        </w:rPr>
        <w:t xml:space="preserve">věrečný účet </w:t>
      </w:r>
      <w:r w:rsidR="00620296" w:rsidRPr="00666F88">
        <w:rPr>
          <w:b/>
          <w:bCs/>
          <w:sz w:val="32"/>
          <w:szCs w:val="32"/>
        </w:rPr>
        <w:t xml:space="preserve">statutárního </w:t>
      </w:r>
      <w:r w:rsidR="00C5229D" w:rsidRPr="00666F88">
        <w:rPr>
          <w:b/>
          <w:bCs/>
          <w:sz w:val="32"/>
          <w:szCs w:val="32"/>
        </w:rPr>
        <w:t>města Prostějova za rok 20</w:t>
      </w:r>
      <w:r w:rsidR="00BB5B7A" w:rsidRPr="00666F88">
        <w:rPr>
          <w:b/>
          <w:bCs/>
          <w:sz w:val="32"/>
          <w:szCs w:val="32"/>
        </w:rPr>
        <w:t>1</w:t>
      </w:r>
      <w:r w:rsidR="00A1207B" w:rsidRPr="00666F88">
        <w:rPr>
          <w:b/>
          <w:bCs/>
          <w:sz w:val="32"/>
          <w:szCs w:val="32"/>
        </w:rPr>
        <w:t>4</w:t>
      </w: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F4259E" w:rsidP="00D71B96">
      <w:pPr>
        <w:rPr>
          <w:sz w:val="24"/>
          <w:szCs w:val="24"/>
        </w:rPr>
      </w:pPr>
      <w:r w:rsidRPr="00666F88">
        <w:rPr>
          <w:sz w:val="24"/>
          <w:szCs w:val="24"/>
        </w:rPr>
        <w:t xml:space="preserve">Zpracoval: </w:t>
      </w:r>
      <w:r w:rsidR="00C643D1" w:rsidRPr="00666F88">
        <w:rPr>
          <w:sz w:val="24"/>
          <w:szCs w:val="24"/>
        </w:rPr>
        <w:t>Milan N e c k a ř</w:t>
      </w:r>
    </w:p>
    <w:p w:rsidR="00C5229D" w:rsidRPr="00666F88" w:rsidRDefault="00C5229D" w:rsidP="00D71B96">
      <w:pPr>
        <w:rPr>
          <w:sz w:val="24"/>
          <w:szCs w:val="24"/>
        </w:rPr>
      </w:pPr>
    </w:p>
    <w:p w:rsidR="00F13011" w:rsidRPr="00666F88" w:rsidRDefault="00C5229D" w:rsidP="00D71B96">
      <w:pPr>
        <w:rPr>
          <w:sz w:val="24"/>
          <w:szCs w:val="24"/>
        </w:rPr>
      </w:pPr>
      <w:r w:rsidRPr="00666F88">
        <w:rPr>
          <w:sz w:val="24"/>
          <w:szCs w:val="24"/>
        </w:rPr>
        <w:t xml:space="preserve">V Prostějově </w:t>
      </w:r>
      <w:proofErr w:type="gramStart"/>
      <w:r w:rsidR="0050058B">
        <w:rPr>
          <w:sz w:val="24"/>
          <w:szCs w:val="24"/>
        </w:rPr>
        <w:t>14</w:t>
      </w:r>
      <w:r w:rsidR="006B584B">
        <w:rPr>
          <w:sz w:val="24"/>
          <w:szCs w:val="24"/>
        </w:rPr>
        <w:t>.4.2015</w:t>
      </w:r>
      <w:proofErr w:type="gramEnd"/>
    </w:p>
    <w:p w:rsidR="004A7786" w:rsidRPr="00666F88" w:rsidRDefault="004A7786" w:rsidP="00D71B96">
      <w:pPr>
        <w:rPr>
          <w:sz w:val="24"/>
          <w:szCs w:val="24"/>
        </w:rPr>
      </w:pPr>
    </w:p>
    <w:p w:rsidR="004A7786" w:rsidRPr="00666F88" w:rsidRDefault="004A7786" w:rsidP="00D71B96">
      <w:pPr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1060"/>
      </w:tblGrid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 w:rsidRPr="00666F88">
              <w:rPr>
                <w:rFonts w:ascii="Times New Roman" w:hAnsi="Times New Roman" w:cs="Times New Roman"/>
                <w:sz w:val="24"/>
                <w:szCs w:val="24"/>
              </w:rPr>
              <w:t>Obsah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jc w:val="right"/>
              <w:rPr>
                <w:b/>
                <w:bCs/>
                <w:sz w:val="24"/>
                <w:szCs w:val="24"/>
              </w:rPr>
            </w:pPr>
            <w:r w:rsidRPr="00666F88">
              <w:rPr>
                <w:b/>
                <w:bCs/>
                <w:sz w:val="24"/>
                <w:szCs w:val="24"/>
              </w:rPr>
              <w:t>strana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jc w:val="right"/>
              <w:rPr>
                <w:b/>
                <w:bCs/>
              </w:rPr>
            </w:pP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rPr>
                <w:b/>
                <w:bCs/>
              </w:rPr>
              <w:t>Důvodová zpráva</w:t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3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>Úvod</w:t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A17C86" w:rsidP="0008250F">
            <w:pPr>
              <w:jc w:val="right"/>
            </w:pPr>
            <w:r w:rsidRPr="00666F88">
              <w:t>3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BF0F9B">
            <w:r w:rsidRPr="00666F88">
              <w:t xml:space="preserve">Inkaso daní za období </w:t>
            </w:r>
            <w:proofErr w:type="gramStart"/>
            <w:r w:rsidRPr="00666F88">
              <w:t>1.1</w:t>
            </w:r>
            <w:proofErr w:type="gramEnd"/>
            <w:r w:rsidRPr="00666F88">
              <w:t>. – 31.12.20</w:t>
            </w:r>
            <w:r w:rsidR="00BB5B7A" w:rsidRPr="00666F88">
              <w:t>1</w:t>
            </w:r>
            <w:r w:rsidR="00BF0F9B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BF0F9B">
            <w:pPr>
              <w:jc w:val="right"/>
            </w:pPr>
            <w:r w:rsidRPr="00666F88">
              <w:t>4</w:t>
            </w:r>
            <w:r w:rsidR="00BF0F9B">
              <w:t>2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4F79E1">
            <w:pPr>
              <w:rPr>
                <w:b/>
                <w:bCs/>
              </w:rPr>
            </w:pPr>
            <w:r w:rsidRPr="00666F88">
              <w:t xml:space="preserve">Kapitola 10 – Kancelář </w:t>
            </w:r>
            <w:r w:rsidR="004F79E1" w:rsidRPr="00666F88">
              <w:t>primátora</w:t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A17C86" w:rsidP="00BF0F9B">
            <w:pPr>
              <w:jc w:val="right"/>
            </w:pPr>
            <w:r w:rsidRPr="00666F88">
              <w:t>4</w:t>
            </w:r>
            <w:r w:rsidR="00BF0F9B">
              <w:t>9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>Kapitola 11 - Správa a zabezpečení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08250F">
            <w:pPr>
              <w:jc w:val="right"/>
            </w:pPr>
            <w:r w:rsidRPr="00666F88">
              <w:t>5</w:t>
            </w:r>
            <w:r w:rsidR="00BF0F9B">
              <w:t>5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r w:rsidRPr="00666F88">
              <w:t>Kapitola 12 – Krizové řízení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654B0" w:rsidP="0008250F">
            <w:pPr>
              <w:jc w:val="right"/>
            </w:pPr>
            <w:r>
              <w:t>61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>Kapitola 13 - Městská policie</w:t>
            </w:r>
            <w:r w:rsidRPr="00666F88">
              <w:tab/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326066">
            <w:pPr>
              <w:jc w:val="right"/>
            </w:pPr>
            <w:r w:rsidRPr="00666F88">
              <w:t>6</w:t>
            </w:r>
            <w:r w:rsidR="002654B0">
              <w:t>6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F14" w:rsidRPr="00666F88" w:rsidRDefault="001C3F14" w:rsidP="00E45A4A">
            <w:r w:rsidRPr="00666F88">
              <w:t xml:space="preserve">Kapitola 14 – </w:t>
            </w:r>
            <w:r w:rsidR="00E45A4A" w:rsidRPr="00666F88">
              <w:t>Kancelář tajemníka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C3F14" w:rsidRPr="00666F88" w:rsidRDefault="002654B0" w:rsidP="0008250F">
            <w:pPr>
              <w:jc w:val="right"/>
            </w:pPr>
            <w:r>
              <w:t>71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F14" w:rsidRPr="00666F88" w:rsidRDefault="001C3F14" w:rsidP="0008250F">
            <w:r w:rsidRPr="00666F88">
              <w:t>Kapitola 15 – Informační technologie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C3F14" w:rsidRPr="00666F88" w:rsidRDefault="00A17C86" w:rsidP="0008250F">
            <w:pPr>
              <w:jc w:val="right"/>
            </w:pPr>
            <w:r w:rsidRPr="00666F88">
              <w:t>7</w:t>
            </w:r>
            <w:r w:rsidR="002654B0">
              <w:t>8</w:t>
            </w:r>
          </w:p>
        </w:tc>
      </w:tr>
      <w:tr w:rsidR="002374B9" w:rsidRPr="00666F88" w:rsidTr="004A3E7D">
        <w:trPr>
          <w:trHeight w:val="23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17C86" w:rsidRPr="00666F88" w:rsidRDefault="00A17C86" w:rsidP="0008250F">
            <w:r w:rsidRPr="00666F88">
              <w:t>Kapitola 16 – Občanské záležitosti</w:t>
            </w:r>
          </w:p>
          <w:p w:rsidR="00A17C86" w:rsidRPr="00666F88" w:rsidRDefault="00A17C86" w:rsidP="0008250F">
            <w:r w:rsidRPr="00666F88">
              <w:t>Kapitola 19 – DUHA KK u hradeb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17C86" w:rsidRPr="00666F88" w:rsidRDefault="00A17C86" w:rsidP="0008250F">
            <w:pPr>
              <w:rPr>
                <w:b/>
                <w:bCs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nil"/>
            </w:tcBorders>
          </w:tcPr>
          <w:p w:rsidR="00A17C86" w:rsidRPr="00666F88" w:rsidRDefault="002654B0" w:rsidP="0008250F">
            <w:pPr>
              <w:jc w:val="right"/>
            </w:pPr>
            <w:r>
              <w:t>83</w:t>
            </w:r>
          </w:p>
          <w:p w:rsidR="00E062AB" w:rsidRPr="00666F88" w:rsidRDefault="002654B0" w:rsidP="0008250F">
            <w:pPr>
              <w:jc w:val="right"/>
            </w:pPr>
            <w:r>
              <w:t>85</w:t>
            </w:r>
          </w:p>
          <w:p w:rsidR="00A17C86" w:rsidRPr="00666F88" w:rsidRDefault="002654B0" w:rsidP="00E062AB">
            <w:pPr>
              <w:jc w:val="right"/>
            </w:pPr>
            <w:r>
              <w:t>90</w:t>
            </w:r>
          </w:p>
        </w:tc>
      </w:tr>
      <w:tr w:rsidR="002374B9" w:rsidRPr="00666F88" w:rsidTr="004A3E7D">
        <w:trPr>
          <w:trHeight w:val="23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17C86" w:rsidRPr="00666F88" w:rsidRDefault="00E062AB" w:rsidP="00E45A4A">
            <w:r w:rsidRPr="00666F88">
              <w:t>Kapitola 20 – Školství</w:t>
            </w:r>
            <w:r w:rsidR="00E45A4A" w:rsidRPr="00666F88">
              <w:t>,</w:t>
            </w:r>
            <w:r w:rsidRPr="00666F88">
              <w:t xml:space="preserve"> kultura</w:t>
            </w:r>
            <w:r w:rsidR="00E45A4A" w:rsidRPr="00666F88">
              <w:t xml:space="preserve"> a sport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17C86" w:rsidRPr="00666F88" w:rsidRDefault="00A17C86" w:rsidP="0008250F"/>
        </w:tc>
        <w:tc>
          <w:tcPr>
            <w:tcW w:w="1060" w:type="dxa"/>
            <w:vMerge/>
            <w:tcBorders>
              <w:left w:val="nil"/>
              <w:right w:val="nil"/>
            </w:tcBorders>
          </w:tcPr>
          <w:p w:rsidR="00A17C86" w:rsidRPr="00666F88" w:rsidRDefault="00A17C86" w:rsidP="0008250F">
            <w:pPr>
              <w:jc w:val="right"/>
            </w:pP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>Kapitola 21 - Sociální věci</w:t>
            </w:r>
            <w:r w:rsidRPr="00666F88">
              <w:tab/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326066" w:rsidP="0008250F">
            <w:pPr>
              <w:jc w:val="right"/>
            </w:pPr>
            <w:r w:rsidRPr="00666F88">
              <w:t>1</w:t>
            </w:r>
            <w:r w:rsidR="005B5120" w:rsidRPr="00666F88">
              <w:t>6</w:t>
            </w:r>
            <w:r w:rsidR="002654B0">
              <w:t>7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>Kapitola 40 - Životní prostředí</w:t>
            </w:r>
            <w:r w:rsidRPr="00666F88">
              <w:tab/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1</w:t>
            </w:r>
            <w:r w:rsidR="005B5120" w:rsidRPr="00666F88">
              <w:t>7</w:t>
            </w:r>
            <w:r w:rsidR="0097061B">
              <w:t>7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r w:rsidRPr="00666F88">
              <w:t xml:space="preserve">Kapitola 41 </w:t>
            </w:r>
            <w:r w:rsidR="001C3F14" w:rsidRPr="00666F88">
              <w:t>–</w:t>
            </w:r>
            <w:r w:rsidRPr="00666F88">
              <w:t xml:space="preserve"> Doprava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1</w:t>
            </w:r>
            <w:r w:rsidR="0097061B">
              <w:t>82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E45A4A">
            <w:pPr>
              <w:rPr>
                <w:b/>
                <w:bCs/>
              </w:rPr>
            </w:pPr>
            <w:r w:rsidRPr="00666F88">
              <w:t xml:space="preserve">Kapitola 50 - Správa </w:t>
            </w:r>
            <w:r w:rsidR="00E45A4A" w:rsidRPr="00666F88">
              <w:t>a nakládání s majetkem města</w:t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1</w:t>
            </w:r>
            <w:r w:rsidR="005B5120" w:rsidRPr="00666F88">
              <w:t>8</w:t>
            </w:r>
            <w:r w:rsidR="0097061B">
              <w:t>6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 xml:space="preserve">Kapitola 60 </w:t>
            </w:r>
            <w:r w:rsidR="001C3F14" w:rsidRPr="00666F88">
              <w:t>–</w:t>
            </w:r>
            <w:r w:rsidRPr="00666F88">
              <w:t xml:space="preserve"> </w:t>
            </w:r>
            <w:r w:rsidR="001C3F14" w:rsidRPr="00666F88">
              <w:t>Rozvoj a investice</w:t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1</w:t>
            </w:r>
            <w:r w:rsidR="0097061B">
              <w:t>93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 xml:space="preserve">Kapitola 61 - Stavební úřad </w:t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08250F">
            <w:pPr>
              <w:jc w:val="right"/>
            </w:pPr>
            <w:r w:rsidRPr="00666F88">
              <w:t>2</w:t>
            </w:r>
            <w:r w:rsidR="0097061B">
              <w:t>14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>Kapitola 70 – Finanční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08250F">
            <w:pPr>
              <w:jc w:val="right"/>
            </w:pPr>
            <w:r w:rsidRPr="00666F88">
              <w:t>2</w:t>
            </w:r>
            <w:r w:rsidR="0097061B">
              <w:t>17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>Kapitola 71 - Sociální fond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08250F">
            <w:pPr>
              <w:jc w:val="right"/>
            </w:pPr>
            <w:r w:rsidRPr="00666F88">
              <w:t>2</w:t>
            </w:r>
            <w:r w:rsidR="0097061B">
              <w:t>26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E45A4A">
            <w:pPr>
              <w:rPr>
                <w:b/>
                <w:bCs/>
              </w:rPr>
            </w:pPr>
            <w:r w:rsidRPr="00666F88">
              <w:t xml:space="preserve">Kapitola 90 </w:t>
            </w:r>
            <w:r w:rsidR="00E45A4A" w:rsidRPr="00666F88">
              <w:t>–</w:t>
            </w:r>
            <w:r w:rsidRPr="00666F88">
              <w:t xml:space="preserve"> </w:t>
            </w:r>
            <w:r w:rsidR="00E45A4A" w:rsidRPr="00666F88">
              <w:t>Správa a údržba majetku města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2</w:t>
            </w:r>
            <w:r w:rsidR="0097061B">
              <w:t>30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jc w:val="right"/>
            </w:pPr>
          </w:p>
        </w:tc>
      </w:tr>
    </w:tbl>
    <w:p w:rsidR="00C5229D" w:rsidRPr="00666F88" w:rsidRDefault="00C5229D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Default="002C2C65">
      <w:pPr>
        <w:pStyle w:val="Zkladntext"/>
        <w:rPr>
          <w:sz w:val="24"/>
          <w:szCs w:val="24"/>
        </w:rPr>
      </w:pPr>
    </w:p>
    <w:p w:rsidR="00D71B96" w:rsidRPr="00666F88" w:rsidRDefault="00D71B96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E72D54" w:rsidRDefault="00E72D54" w:rsidP="00334A9E">
      <w:pPr>
        <w:pStyle w:val="Nzev"/>
        <w:jc w:val="left"/>
        <w:rPr>
          <w:rFonts w:ascii="Times New Roman" w:hAnsi="Times New Roman" w:cs="Times New Roman"/>
        </w:rPr>
      </w:pPr>
    </w:p>
    <w:p w:rsidR="0050058B" w:rsidRDefault="0050058B" w:rsidP="00334A9E">
      <w:pPr>
        <w:pStyle w:val="Nzev"/>
        <w:jc w:val="left"/>
        <w:rPr>
          <w:rFonts w:ascii="Times New Roman" w:hAnsi="Times New Roman" w:cs="Times New Roman"/>
        </w:rPr>
      </w:pPr>
    </w:p>
    <w:p w:rsidR="0050058B" w:rsidRPr="00666F88" w:rsidRDefault="0050058B" w:rsidP="00334A9E">
      <w:pPr>
        <w:pStyle w:val="Nzev"/>
        <w:jc w:val="left"/>
        <w:rPr>
          <w:rFonts w:ascii="Times New Roman" w:hAnsi="Times New Roman" w:cs="Times New Roman"/>
        </w:rPr>
      </w:pPr>
    </w:p>
    <w:p w:rsidR="002C2C65" w:rsidRPr="00D71B96" w:rsidRDefault="002C2C65" w:rsidP="00D71B96">
      <w:pPr>
        <w:rPr>
          <w:b/>
          <w:sz w:val="28"/>
          <w:szCs w:val="28"/>
        </w:rPr>
      </w:pPr>
      <w:r w:rsidRPr="00D71B96">
        <w:rPr>
          <w:b/>
          <w:sz w:val="28"/>
          <w:szCs w:val="28"/>
        </w:rPr>
        <w:lastRenderedPageBreak/>
        <w:t>Důvodová zpráva</w:t>
      </w:r>
    </w:p>
    <w:p w:rsidR="002C2C65" w:rsidRPr="00666F88" w:rsidRDefault="002C2C65" w:rsidP="002C2C65">
      <w:pPr>
        <w:rPr>
          <w:b/>
          <w:bCs/>
          <w:sz w:val="18"/>
          <w:szCs w:val="18"/>
        </w:rPr>
      </w:pPr>
    </w:p>
    <w:p w:rsidR="006E118A" w:rsidRPr="00666F88" w:rsidRDefault="006E118A" w:rsidP="002C2C65">
      <w:pPr>
        <w:rPr>
          <w:b/>
          <w:bCs/>
          <w:sz w:val="18"/>
          <w:szCs w:val="18"/>
        </w:rPr>
      </w:pPr>
    </w:p>
    <w:p w:rsidR="002C2C65" w:rsidRPr="00666F88" w:rsidRDefault="002C2C65" w:rsidP="006E118A">
      <w:pPr>
        <w:rPr>
          <w:b/>
          <w:bCs/>
          <w:sz w:val="24"/>
          <w:szCs w:val="24"/>
          <w:u w:val="single"/>
        </w:rPr>
      </w:pPr>
      <w:r w:rsidRPr="00666F88">
        <w:rPr>
          <w:b/>
          <w:bCs/>
          <w:sz w:val="24"/>
          <w:szCs w:val="24"/>
          <w:u w:val="single"/>
        </w:rPr>
        <w:t>Úvod</w:t>
      </w:r>
    </w:p>
    <w:p w:rsidR="002C2C65" w:rsidRPr="00666F88" w:rsidRDefault="002C2C65" w:rsidP="002C2C65">
      <w:pPr>
        <w:rPr>
          <w:b/>
          <w:bCs/>
        </w:rPr>
      </w:pPr>
    </w:p>
    <w:p w:rsidR="0035420F" w:rsidRPr="00666F88" w:rsidRDefault="00A864E6" w:rsidP="002C2C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shd w:val="clear" w:color="auto" w:fill="FFC000"/>
        </w:rPr>
        <w:t>Rozpočtové</w:t>
      </w:r>
      <w:r w:rsidR="0035420F" w:rsidRPr="00666F88">
        <w:rPr>
          <w:b/>
          <w:bCs/>
          <w:sz w:val="24"/>
          <w:szCs w:val="24"/>
          <w:u w:val="single"/>
          <w:shd w:val="clear" w:color="auto" w:fill="FFC000"/>
        </w:rPr>
        <w:t xml:space="preserve"> hospodaření</w:t>
      </w:r>
    </w:p>
    <w:p w:rsidR="00C1721B" w:rsidRPr="00666F88" w:rsidRDefault="00C1721B" w:rsidP="002C2C65">
      <w:pPr>
        <w:rPr>
          <w:b/>
          <w:bCs/>
          <w:sz w:val="18"/>
          <w:szCs w:val="18"/>
        </w:rPr>
      </w:pPr>
      <w:bookmarkStart w:id="0" w:name="_964941838"/>
      <w:bookmarkStart w:id="1" w:name="_MON_1297146028"/>
      <w:bookmarkStart w:id="2" w:name="_MON_1358663703"/>
      <w:bookmarkStart w:id="3" w:name="_MON_1392111867"/>
      <w:bookmarkStart w:id="4" w:name="_MON_1297050439"/>
      <w:bookmarkStart w:id="5" w:name="_MON_1297050713"/>
      <w:bookmarkEnd w:id="0"/>
      <w:bookmarkEnd w:id="1"/>
      <w:bookmarkEnd w:id="2"/>
      <w:bookmarkEnd w:id="3"/>
      <w:bookmarkEnd w:id="4"/>
      <w:bookmarkEnd w:id="5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47"/>
        <w:gridCol w:w="1601"/>
        <w:gridCol w:w="1134"/>
        <w:gridCol w:w="3402"/>
      </w:tblGrid>
      <w:tr w:rsidR="00C1721B" w:rsidRPr="00C1721B" w:rsidTr="005B65C9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Příjmy</w:t>
            </w:r>
          </w:p>
        </w:tc>
      </w:tr>
      <w:tr w:rsidR="005B65C9" w:rsidRPr="00666F88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Rozpočet schválený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Rozpočet upravený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Skutečnost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65C9" w:rsidRPr="00666F88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Poznámka</w:t>
            </w:r>
          </w:p>
        </w:tc>
      </w:tr>
      <w:tr w:rsidR="00C1721B" w:rsidRPr="00C1721B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692 412,66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798 078,39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1 662 858,01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208,36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</w:pPr>
            <w:r w:rsidRPr="00C1721B">
              <w:t>Nekonsolidované příjmy</w:t>
            </w:r>
          </w:p>
        </w:tc>
      </w:tr>
      <w:tr w:rsidR="00C1721B" w:rsidRPr="00C1721B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692 412,66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798 078,39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851 912,36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106,75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</w:pPr>
            <w:r w:rsidRPr="00C1721B">
              <w:t>Konsolidované příjmy</w:t>
            </w:r>
          </w:p>
        </w:tc>
      </w:tr>
      <w:tr w:rsidR="00C1721B" w:rsidRPr="00C1721B" w:rsidTr="005B65C9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Výdaje</w:t>
            </w:r>
          </w:p>
        </w:tc>
      </w:tr>
      <w:tr w:rsidR="005B65C9" w:rsidRPr="00666F88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Rozpočet schválený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Rozpočet upravený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Skutečnost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65C9" w:rsidRPr="00666F88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Poznámka</w:t>
            </w:r>
          </w:p>
        </w:tc>
      </w:tr>
      <w:tr w:rsidR="00C1721B" w:rsidRPr="00C1721B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780 262,28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874 488,77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1 575 168,88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180,12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</w:pPr>
            <w:r w:rsidRPr="00C1721B">
              <w:t>Nekonsolidované výdaje</w:t>
            </w:r>
          </w:p>
        </w:tc>
      </w:tr>
      <w:tr w:rsidR="00C1721B" w:rsidRPr="00C1721B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780 262,28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874 488,77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764 223,23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87,39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</w:pPr>
            <w:r w:rsidRPr="00C1721B">
              <w:t>Konsolidované výdaje</w:t>
            </w:r>
          </w:p>
        </w:tc>
      </w:tr>
      <w:tr w:rsidR="00C1721B" w:rsidRPr="00C1721B" w:rsidTr="005B65C9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Saldo příjmů a výdajů</w:t>
            </w:r>
          </w:p>
        </w:tc>
      </w:tr>
      <w:tr w:rsidR="005B65C9" w:rsidRPr="00666F88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Rozpočet schválený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Rozpočet upravený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Skutečnost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65C9" w:rsidRPr="00666F88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Poznámka</w:t>
            </w:r>
          </w:p>
        </w:tc>
      </w:tr>
      <w:tr w:rsidR="00C1721B" w:rsidRPr="00C1721B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-87 849,62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-76 410,38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87 689,13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-114,76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</w:pPr>
            <w:r w:rsidRPr="00C1721B">
              <w:t>Nekonsolidované saldo</w:t>
            </w:r>
          </w:p>
        </w:tc>
      </w:tr>
      <w:tr w:rsidR="00C1721B" w:rsidRPr="00C1721B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-87 849,62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-76 410,38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87 689,13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-114,76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</w:pPr>
            <w:r w:rsidRPr="00C1721B">
              <w:t>Konsolidované saldo</w:t>
            </w:r>
          </w:p>
        </w:tc>
      </w:tr>
      <w:tr w:rsidR="00C1721B" w:rsidRPr="00C1721B" w:rsidTr="005B65C9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Financování</w:t>
            </w:r>
          </w:p>
        </w:tc>
      </w:tr>
      <w:tr w:rsidR="005B65C9" w:rsidRPr="00666F88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Rozpočet schválený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Rozpočet upravený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Skutečnost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65C9" w:rsidRPr="00666F88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1721B">
              <w:rPr>
                <w:b/>
                <w:bCs/>
                <w:sz w:val="16"/>
                <w:szCs w:val="16"/>
              </w:rPr>
              <w:t>Poznámka</w:t>
            </w:r>
          </w:p>
        </w:tc>
      </w:tr>
      <w:tr w:rsidR="00C1721B" w:rsidRPr="00C1721B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87 849,62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76 410,38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-87 689,13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-114,76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</w:pPr>
            <w:r w:rsidRPr="00C1721B">
              <w:t>Nekonsolidované financování</w:t>
            </w:r>
          </w:p>
        </w:tc>
      </w:tr>
      <w:tr w:rsidR="00C1721B" w:rsidRPr="00C1721B" w:rsidTr="005B65C9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87 849,62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76 410,38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-87 689,13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  <w:jc w:val="right"/>
            </w:pPr>
            <w:r w:rsidRPr="00C1721B">
              <w:t>-114,76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1B" w:rsidRPr="00C1721B" w:rsidRDefault="00C1721B" w:rsidP="00C1721B">
            <w:pPr>
              <w:autoSpaceDE/>
              <w:autoSpaceDN/>
            </w:pPr>
            <w:r w:rsidRPr="00C1721B">
              <w:t>Konsolidované financování</w:t>
            </w:r>
          </w:p>
        </w:tc>
      </w:tr>
      <w:tr w:rsidR="00C1721B" w:rsidRPr="00815C1A" w:rsidTr="005B65C9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B" w:rsidRPr="00815C1A" w:rsidRDefault="00C1721B" w:rsidP="00C1721B">
            <w:pPr>
              <w:autoSpaceDE/>
              <w:autoSpaceDN/>
              <w:rPr>
                <w:i/>
                <w:sz w:val="16"/>
                <w:szCs w:val="16"/>
              </w:rPr>
            </w:pPr>
            <w:r w:rsidRPr="00815C1A">
              <w:rPr>
                <w:i/>
                <w:sz w:val="16"/>
                <w:szCs w:val="16"/>
              </w:rPr>
              <w:t>Poznámka: Finanční hodnoty jsou zaokrouhleny na dvě desetinná místa</w:t>
            </w:r>
          </w:p>
        </w:tc>
      </w:tr>
    </w:tbl>
    <w:p w:rsidR="002C2C65" w:rsidRPr="00666F88" w:rsidRDefault="002C2C65" w:rsidP="002C2C65">
      <w:pPr>
        <w:pStyle w:val="Zpat"/>
        <w:tabs>
          <w:tab w:val="clear" w:pos="4536"/>
          <w:tab w:val="clear" w:pos="9072"/>
        </w:tabs>
      </w:pPr>
    </w:p>
    <w:p w:rsidR="002C2C65" w:rsidRPr="00666F88" w:rsidRDefault="002C2C65" w:rsidP="002C565C">
      <w:pPr>
        <w:jc w:val="both"/>
      </w:pPr>
      <w:r w:rsidRPr="00666F88">
        <w:tab/>
      </w:r>
      <w:r w:rsidR="00A864E6">
        <w:t>Rozpočtové</w:t>
      </w:r>
      <w:r w:rsidR="00694A64" w:rsidRPr="00666F88">
        <w:t xml:space="preserve"> hospodaření </w:t>
      </w:r>
      <w:r w:rsidR="005B06BA" w:rsidRPr="00666F88">
        <w:t xml:space="preserve">statutárního </w:t>
      </w:r>
      <w:r w:rsidR="00694A64" w:rsidRPr="00666F88">
        <w:t>města Prostějova skončilo ve sledovaném období rozpočtového roku 20</w:t>
      </w:r>
      <w:r w:rsidR="00D94910" w:rsidRPr="00666F88">
        <w:t>1</w:t>
      </w:r>
      <w:r w:rsidR="00F64260" w:rsidRPr="00666F88">
        <w:t>4</w:t>
      </w:r>
      <w:r w:rsidR="00694A64" w:rsidRPr="00666F88">
        <w:t xml:space="preserve"> </w:t>
      </w:r>
      <w:r w:rsidR="004F79E1" w:rsidRPr="00666F88">
        <w:t>kladným</w:t>
      </w:r>
      <w:r w:rsidR="00694A64" w:rsidRPr="00666F88">
        <w:t xml:space="preserve"> saldem příjmů a výdajů ve výši </w:t>
      </w:r>
      <w:r w:rsidR="00F64260" w:rsidRPr="00666F88">
        <w:rPr>
          <w:b/>
          <w:bCs/>
        </w:rPr>
        <w:t>87.689.130,08</w:t>
      </w:r>
      <w:r w:rsidR="00694A64" w:rsidRPr="00666F88">
        <w:rPr>
          <w:b/>
          <w:bCs/>
        </w:rPr>
        <w:t xml:space="preserve"> Kč</w:t>
      </w:r>
      <w:r w:rsidR="00694A64" w:rsidRPr="00666F88">
        <w:t xml:space="preserve">. Na tomto velice příznivém saldu </w:t>
      </w:r>
      <w:r w:rsidR="005B06BA" w:rsidRPr="00666F88">
        <w:t>příjmů a výdajů</w:t>
      </w:r>
      <w:r w:rsidR="00694A64" w:rsidRPr="00666F88">
        <w:t xml:space="preserve"> (rozpočet v upravené formě k </w:t>
      </w:r>
      <w:proofErr w:type="gramStart"/>
      <w:r w:rsidR="00694A64" w:rsidRPr="00666F88">
        <w:t>31.12.20</w:t>
      </w:r>
      <w:r w:rsidR="00D94910" w:rsidRPr="00666F88">
        <w:t>1</w:t>
      </w:r>
      <w:r w:rsidR="00F64260" w:rsidRPr="00666F88">
        <w:t>4</w:t>
      </w:r>
      <w:proofErr w:type="gramEnd"/>
      <w:r w:rsidR="00694A64" w:rsidRPr="00666F88">
        <w:t xml:space="preserve"> vykázal záporné saldo</w:t>
      </w:r>
      <w:r w:rsidR="00E63F23">
        <w:t xml:space="preserve"> příjmů a výdajů</w:t>
      </w:r>
      <w:r w:rsidR="00694A64" w:rsidRPr="00666F88">
        <w:t xml:space="preserve"> ve výši </w:t>
      </w:r>
      <w:r w:rsidR="00F64260" w:rsidRPr="00666F88">
        <w:rPr>
          <w:b/>
          <w:bCs/>
        </w:rPr>
        <w:t>76.410.379,63</w:t>
      </w:r>
      <w:r w:rsidR="00694A64" w:rsidRPr="00666F88">
        <w:rPr>
          <w:b/>
          <w:bCs/>
        </w:rPr>
        <w:t xml:space="preserve"> Kč</w:t>
      </w:r>
      <w:r w:rsidR="00694A64" w:rsidRPr="00666F88">
        <w:t xml:space="preserve">) se podílela ta skutečnost, že čerpání celkových výdajů v konsolidované podobě </w:t>
      </w:r>
      <w:r w:rsidR="00465893" w:rsidRPr="00666F88">
        <w:t xml:space="preserve">upraveného rozpočtu </w:t>
      </w:r>
      <w:r w:rsidR="00694A64" w:rsidRPr="00666F88">
        <w:t>vykázalo hodnotu</w:t>
      </w:r>
      <w:r w:rsidR="00F64260" w:rsidRPr="00666F88">
        <w:t xml:space="preserve"> ve výši pouze</w:t>
      </w:r>
      <w:r w:rsidR="00694A64" w:rsidRPr="00666F88">
        <w:t xml:space="preserve"> </w:t>
      </w:r>
      <w:r w:rsidR="00F64260" w:rsidRPr="00666F88">
        <w:rPr>
          <w:b/>
        </w:rPr>
        <w:t>87,39</w:t>
      </w:r>
      <w:r w:rsidR="00694A64" w:rsidRPr="00666F88">
        <w:rPr>
          <w:b/>
          <w:bCs/>
        </w:rPr>
        <w:t>%</w:t>
      </w:r>
      <w:r w:rsidR="00694A64" w:rsidRPr="00666F88">
        <w:t xml:space="preserve"> rozpočtovaných výdajů (</w:t>
      </w:r>
      <w:r w:rsidR="00694A64" w:rsidRPr="00666F88">
        <w:rPr>
          <w:b/>
          <w:bCs/>
        </w:rPr>
        <w:t xml:space="preserve">v absolutní finanční hodnotě jde o částku </w:t>
      </w:r>
      <w:r w:rsidR="00465893" w:rsidRPr="00666F88">
        <w:rPr>
          <w:b/>
          <w:bCs/>
        </w:rPr>
        <w:t>110.265.549,14</w:t>
      </w:r>
      <w:r w:rsidR="00694A64" w:rsidRPr="00666F88">
        <w:rPr>
          <w:b/>
          <w:bCs/>
        </w:rPr>
        <w:t xml:space="preserve"> Kč nižší než byla rozpočtována; rozpočet = </w:t>
      </w:r>
      <w:r w:rsidR="00465893" w:rsidRPr="00666F88">
        <w:rPr>
          <w:b/>
          <w:bCs/>
        </w:rPr>
        <w:t>874.488.774,57</w:t>
      </w:r>
      <w:r w:rsidR="00694A64" w:rsidRPr="00666F88">
        <w:rPr>
          <w:b/>
          <w:bCs/>
        </w:rPr>
        <w:t xml:space="preserve"> Kč; skutečnost = </w:t>
      </w:r>
      <w:r w:rsidR="00465893" w:rsidRPr="00666F88">
        <w:rPr>
          <w:b/>
          <w:bCs/>
        </w:rPr>
        <w:t>764.223.225,43</w:t>
      </w:r>
      <w:r w:rsidR="00694A64" w:rsidRPr="00666F88">
        <w:rPr>
          <w:b/>
          <w:bCs/>
        </w:rPr>
        <w:t xml:space="preserve"> Kč</w:t>
      </w:r>
      <w:r w:rsidR="00694A64" w:rsidRPr="00666F88">
        <w:t xml:space="preserve">) oproti přeplněným celkovým příjmům </w:t>
      </w:r>
      <w:r w:rsidR="00465893" w:rsidRPr="00666F88">
        <w:t xml:space="preserve">v konsolidované podobě upraveného rozpočtu </w:t>
      </w:r>
      <w:r w:rsidR="00694A64" w:rsidRPr="00666F88">
        <w:t xml:space="preserve">ve výši </w:t>
      </w:r>
      <w:r w:rsidR="00E168AA" w:rsidRPr="00666F88">
        <w:rPr>
          <w:b/>
          <w:bCs/>
        </w:rPr>
        <w:t>106,75</w:t>
      </w:r>
      <w:r w:rsidR="00694A64" w:rsidRPr="00666F88">
        <w:rPr>
          <w:b/>
          <w:bCs/>
        </w:rPr>
        <w:t xml:space="preserve">% </w:t>
      </w:r>
      <w:r w:rsidR="00694A64" w:rsidRPr="00666F88">
        <w:t>(</w:t>
      </w:r>
      <w:r w:rsidR="00694A64" w:rsidRPr="00666F88">
        <w:rPr>
          <w:b/>
          <w:bCs/>
        </w:rPr>
        <w:t xml:space="preserve">v absolutní finanční hodnotě jde o částku </w:t>
      </w:r>
      <w:r w:rsidR="00E168AA" w:rsidRPr="00666F88">
        <w:rPr>
          <w:b/>
          <w:bCs/>
        </w:rPr>
        <w:t>53.833.960,57</w:t>
      </w:r>
      <w:r w:rsidR="00694A64" w:rsidRPr="00666F88">
        <w:rPr>
          <w:b/>
          <w:bCs/>
        </w:rPr>
        <w:t xml:space="preserve"> Kč </w:t>
      </w:r>
      <w:proofErr w:type="gramStart"/>
      <w:r w:rsidR="00694A64" w:rsidRPr="00666F88">
        <w:rPr>
          <w:b/>
          <w:bCs/>
        </w:rPr>
        <w:t>vyšší než</w:t>
      </w:r>
      <w:proofErr w:type="gramEnd"/>
      <w:r w:rsidR="00694A64" w:rsidRPr="00666F88">
        <w:rPr>
          <w:b/>
          <w:bCs/>
        </w:rPr>
        <w:t xml:space="preserve"> byla rozpočtována; rozpočet = </w:t>
      </w:r>
      <w:r w:rsidR="00E168AA" w:rsidRPr="00666F88">
        <w:rPr>
          <w:b/>
          <w:bCs/>
        </w:rPr>
        <w:t>798.078.394,94</w:t>
      </w:r>
      <w:r w:rsidR="00694A64" w:rsidRPr="00666F88">
        <w:rPr>
          <w:b/>
          <w:bCs/>
        </w:rPr>
        <w:t xml:space="preserve"> Kč; skutečnost = </w:t>
      </w:r>
      <w:r w:rsidR="00E168AA" w:rsidRPr="00666F88">
        <w:rPr>
          <w:b/>
          <w:bCs/>
        </w:rPr>
        <w:t>851.912.355,51</w:t>
      </w:r>
      <w:r w:rsidR="00694A64" w:rsidRPr="00666F88">
        <w:rPr>
          <w:b/>
          <w:bCs/>
        </w:rPr>
        <w:t xml:space="preserve"> Kč</w:t>
      </w:r>
      <w:r w:rsidR="00694A64" w:rsidRPr="00666F88">
        <w:t xml:space="preserve">). </w:t>
      </w:r>
      <w:r w:rsidR="00E63F23">
        <w:t xml:space="preserve">Celkově tedy rozpočtové hospodaření statutárního města Prostějova roku 2014 skončilo výsledkem </w:t>
      </w:r>
      <w:r w:rsidR="00E63F23">
        <w:rPr>
          <w:b/>
        </w:rPr>
        <w:t xml:space="preserve">plus 164.099.509,71 Kč </w:t>
      </w:r>
      <w:r w:rsidR="00E63F23">
        <w:t xml:space="preserve">(76.410.379,63 Kč + 87.689.130,08 Kč). </w:t>
      </w:r>
      <w:r w:rsidR="00626C2F" w:rsidRPr="00666F88">
        <w:t>Přebytek z rozpočtového hospodaření roku 201</w:t>
      </w:r>
      <w:r w:rsidR="00E168AA" w:rsidRPr="00666F88">
        <w:t>4</w:t>
      </w:r>
      <w:r w:rsidR="00444A3B" w:rsidRPr="00666F88">
        <w:t xml:space="preserve"> </w:t>
      </w:r>
      <w:r w:rsidR="00626C2F" w:rsidRPr="00666F88">
        <w:t>bude</w:t>
      </w:r>
      <w:r w:rsidR="00601A90">
        <w:t xml:space="preserve"> po zohlednění sociálního fondu</w:t>
      </w:r>
      <w:r w:rsidR="00626C2F" w:rsidRPr="00666F88">
        <w:t xml:space="preserve">, na základě schválení závěrečného účtu </w:t>
      </w:r>
      <w:r w:rsidR="005D7EA1" w:rsidRPr="00666F88">
        <w:t xml:space="preserve">statutárního </w:t>
      </w:r>
      <w:r w:rsidR="00626C2F" w:rsidRPr="00666F88">
        <w:t xml:space="preserve">města Prostějova Zastupitelstvem města Prostějova dne </w:t>
      </w:r>
      <w:proofErr w:type="gramStart"/>
      <w:r w:rsidR="00E168AA" w:rsidRPr="00666F88">
        <w:t>8.6.2015</w:t>
      </w:r>
      <w:proofErr w:type="gramEnd"/>
      <w:r w:rsidR="00626C2F" w:rsidRPr="00666F88">
        <w:t xml:space="preserve">, směrován k naplnění rozpočtových rezerv </w:t>
      </w:r>
      <w:r w:rsidR="005D7EA1" w:rsidRPr="00666F88">
        <w:t xml:space="preserve">statutárního </w:t>
      </w:r>
      <w:r w:rsidR="00626C2F" w:rsidRPr="00666F88">
        <w:t xml:space="preserve">města Prostějova </w:t>
      </w:r>
      <w:r w:rsidR="001E033D" w:rsidRPr="00666F88">
        <w:t>v</w:t>
      </w:r>
      <w:r w:rsidR="00626C2F" w:rsidRPr="00666F88">
        <w:t xml:space="preserve"> trvalých peněžních fond</w:t>
      </w:r>
      <w:r w:rsidR="001E033D" w:rsidRPr="00666F88">
        <w:t>ech</w:t>
      </w:r>
      <w:r w:rsidR="00626C2F" w:rsidRPr="00666F88">
        <w:t xml:space="preserve"> zřízených </w:t>
      </w:r>
      <w:r w:rsidR="005D7EA1" w:rsidRPr="00666F88">
        <w:t xml:space="preserve">statutárním </w:t>
      </w:r>
      <w:r w:rsidR="00626C2F" w:rsidRPr="00666F88">
        <w:t>městem Prostějovem</w:t>
      </w:r>
      <w:r w:rsidR="001E033D" w:rsidRPr="00666F88">
        <w:t xml:space="preserve">, konkrétně </w:t>
      </w:r>
      <w:r w:rsidR="00D22552" w:rsidRPr="00666F88">
        <w:t xml:space="preserve">do </w:t>
      </w:r>
      <w:r w:rsidR="001E033D" w:rsidRPr="00666F88">
        <w:t>fondu rezerv a rozvoje</w:t>
      </w:r>
      <w:r w:rsidR="00601A90">
        <w:t xml:space="preserve"> a fondu zeleně</w:t>
      </w:r>
      <w:r w:rsidR="00D22552" w:rsidRPr="00666F88">
        <w:t xml:space="preserve">. </w:t>
      </w:r>
      <w:r w:rsidR="002C565C" w:rsidRPr="00666F88">
        <w:t>Ani v roce 201</w:t>
      </w:r>
      <w:r w:rsidR="00E168AA" w:rsidRPr="00666F88">
        <w:t>4</w:t>
      </w:r>
      <w:r w:rsidR="002C565C" w:rsidRPr="00666F88">
        <w:t xml:space="preserve"> nebylo</w:t>
      </w:r>
      <w:r w:rsidR="00055ECE" w:rsidRPr="00666F88">
        <w:t xml:space="preserve"> nutné zadlužovat město úvěry od bankovních ústavů. </w:t>
      </w:r>
      <w:r w:rsidR="005D7EA1" w:rsidRPr="00666F88">
        <w:t>Kapitálové výdaje</w:t>
      </w:r>
      <w:r w:rsidR="00694A64" w:rsidRPr="00666F88">
        <w:t xml:space="preserve"> se na celkových výdajích města v roce 20</w:t>
      </w:r>
      <w:r w:rsidR="00EF1EAE" w:rsidRPr="00666F88">
        <w:t>1</w:t>
      </w:r>
      <w:r w:rsidR="00E168AA" w:rsidRPr="00666F88">
        <w:t>4</w:t>
      </w:r>
      <w:r w:rsidR="00694A64" w:rsidRPr="00666F88">
        <w:t xml:space="preserve"> podílely částkou </w:t>
      </w:r>
      <w:r w:rsidR="00E168AA" w:rsidRPr="00666F88">
        <w:rPr>
          <w:b/>
        </w:rPr>
        <w:t>186.402.371,06</w:t>
      </w:r>
      <w:r w:rsidR="00694A64" w:rsidRPr="00666F88">
        <w:rPr>
          <w:b/>
        </w:rPr>
        <w:t xml:space="preserve"> Kč</w:t>
      </w:r>
      <w:r w:rsidR="00694A64" w:rsidRPr="00666F88">
        <w:t xml:space="preserve">, což představuje procentuálně hodnotu </w:t>
      </w:r>
      <w:r w:rsidR="00E168AA" w:rsidRPr="00666F88">
        <w:rPr>
          <w:b/>
        </w:rPr>
        <w:t>24,39</w:t>
      </w:r>
      <w:r w:rsidR="00694A64" w:rsidRPr="00666F88">
        <w:t xml:space="preserve"> vůči celkovým výdajům města.</w:t>
      </w:r>
    </w:p>
    <w:p w:rsidR="002C2C65" w:rsidRDefault="002C2C65" w:rsidP="000415FF">
      <w:pPr>
        <w:jc w:val="both"/>
      </w:pPr>
    </w:p>
    <w:p w:rsidR="00601A90" w:rsidRDefault="00601A90" w:rsidP="000415FF">
      <w:pPr>
        <w:ind w:firstLine="720"/>
        <w:jc w:val="both"/>
      </w:pPr>
      <w:r>
        <w:t xml:space="preserve">Na základě schváleného závěrečného účtu statutárního města Prostějova za rok 2014 bude proveden odvod finančních prostředků na účet </w:t>
      </w:r>
      <w:r w:rsidRPr="003F05F3">
        <w:t>Stát</w:t>
      </w:r>
      <w:r>
        <w:t>ního fondu</w:t>
      </w:r>
      <w:r w:rsidRPr="003F05F3">
        <w:t xml:space="preserve"> životního </w:t>
      </w:r>
      <w:r>
        <w:t xml:space="preserve">prostředí ČR (dále jen SFŽP ČR) a účet Národního divadla </w:t>
      </w:r>
      <w:r w:rsidRPr="003F05F3">
        <w:t>Brno</w:t>
      </w:r>
      <w:r>
        <w:t xml:space="preserve"> (dále jen ND Brno) v celkovém objemu </w:t>
      </w:r>
      <w:r w:rsidRPr="00601A90">
        <w:rPr>
          <w:b/>
        </w:rPr>
        <w:t>251.323 Kč</w:t>
      </w:r>
      <w:r>
        <w:t xml:space="preserve"> (rozdělení částek viz níže). Odvod</w:t>
      </w:r>
      <w:r w:rsidRPr="003F05F3">
        <w:t xml:space="preserve"> se vztahuje</w:t>
      </w:r>
      <w:r>
        <w:t xml:space="preserve"> sice</w:t>
      </w:r>
      <w:r w:rsidRPr="003F05F3">
        <w:t xml:space="preserve"> k roku 2014, ale </w:t>
      </w:r>
      <w:r>
        <w:t xml:space="preserve">bude ovlivňovat </w:t>
      </w:r>
      <w:r w:rsidR="00FD7886">
        <w:t>rozpočtové</w:t>
      </w:r>
      <w:r w:rsidRPr="003F05F3">
        <w:t xml:space="preserve"> hospodaření statutárního města Prostějova roku 2015.</w:t>
      </w:r>
    </w:p>
    <w:p w:rsidR="005676F9" w:rsidRPr="003F05F3" w:rsidRDefault="005676F9" w:rsidP="000415FF">
      <w:pPr>
        <w:ind w:firstLine="720"/>
        <w:jc w:val="both"/>
      </w:pPr>
      <w:r w:rsidRPr="003F05F3">
        <w:t xml:space="preserve">V lednu </w:t>
      </w:r>
      <w:r w:rsidR="003F05F3">
        <w:t xml:space="preserve">roku </w:t>
      </w:r>
      <w:r w:rsidRPr="003F05F3">
        <w:t xml:space="preserve">2015 bylo provedeno finanční vypořádání roku 2014 se státním rozpočtem ČR </w:t>
      </w:r>
      <w:r w:rsidR="00FD7886">
        <w:t xml:space="preserve">(dále jen SR ČR) </w:t>
      </w:r>
      <w:r w:rsidRPr="003F05F3">
        <w:t>pro</w:t>
      </w:r>
      <w:r w:rsidR="00601A90">
        <w:t xml:space="preserve">střednictvím Olomouckého kraje a </w:t>
      </w:r>
      <w:r w:rsidRPr="003F05F3">
        <w:t xml:space="preserve">rozpočtem </w:t>
      </w:r>
      <w:r w:rsidR="00A864E6">
        <w:t>Olomouckého kraje</w:t>
      </w:r>
      <w:r w:rsidR="00601A90">
        <w:t>,</w:t>
      </w:r>
      <w:r w:rsidRPr="003F05F3">
        <w:t xml:space="preserve"> které se vztahuje k roku 2014, ale kompenzací</w:t>
      </w:r>
      <w:r w:rsidR="00FD7886">
        <w:t xml:space="preserve"> </w:t>
      </w:r>
      <w:r w:rsidR="00FD7886">
        <w:lastRenderedPageBreak/>
        <w:t>finančních částek</w:t>
      </w:r>
      <w:r w:rsidRPr="003F05F3">
        <w:t xml:space="preserve"> ovlivňuj</w:t>
      </w:r>
      <w:r w:rsidR="003F05F3" w:rsidRPr="003F05F3">
        <w:t>e</w:t>
      </w:r>
      <w:r w:rsidRPr="003F05F3">
        <w:t xml:space="preserve"> </w:t>
      </w:r>
      <w:r w:rsidR="003F05F3" w:rsidRPr="003F05F3">
        <w:t>rozpočtové hospodaření statutárního města Prostějova roku 2015</w:t>
      </w:r>
      <w:r w:rsidRPr="003F05F3">
        <w:t xml:space="preserve">. V rámci finančního vypořádání </w:t>
      </w:r>
      <w:r w:rsidR="003F05F3" w:rsidRPr="003F05F3">
        <w:t xml:space="preserve">roku 2014 </w:t>
      </w:r>
      <w:r w:rsidR="00FD7886">
        <w:t>jsou n</w:t>
      </w:r>
      <w:r w:rsidRPr="003F05F3">
        <w:t xml:space="preserve">árokovány </w:t>
      </w:r>
      <w:r w:rsidR="003F05F3">
        <w:t xml:space="preserve">finanční </w:t>
      </w:r>
      <w:r w:rsidRPr="003F05F3">
        <w:t xml:space="preserve">prostředky </w:t>
      </w:r>
      <w:r w:rsidR="00FD7886">
        <w:t>v celkové</w:t>
      </w:r>
      <w:r w:rsidRPr="003F05F3">
        <w:t xml:space="preserve"> výši</w:t>
      </w:r>
      <w:r w:rsidRPr="003F05F3">
        <w:rPr>
          <w:b/>
        </w:rPr>
        <w:t xml:space="preserve"> </w:t>
      </w:r>
      <w:r w:rsidR="003F05F3" w:rsidRPr="003F05F3">
        <w:rPr>
          <w:b/>
        </w:rPr>
        <w:t>481.990,78</w:t>
      </w:r>
      <w:r w:rsidRPr="003F05F3">
        <w:rPr>
          <w:b/>
        </w:rPr>
        <w:t xml:space="preserve"> Kč </w:t>
      </w:r>
      <w:r w:rsidRPr="003F05F3">
        <w:t>jako kompenzace účelových prostředků, které byly dotacemi vykryty pouze částečně s nárokem celého krytí</w:t>
      </w:r>
      <w:r w:rsidR="00FD7886">
        <w:t xml:space="preserve"> (rozdělení částek viz níže)</w:t>
      </w:r>
      <w:r w:rsidRPr="003F05F3">
        <w:t xml:space="preserve">. </w:t>
      </w:r>
    </w:p>
    <w:p w:rsidR="005676F9" w:rsidRPr="003F05F3" w:rsidRDefault="005676F9" w:rsidP="000415FF">
      <w:pPr>
        <w:jc w:val="both"/>
      </w:pPr>
    </w:p>
    <w:p w:rsidR="00E72D54" w:rsidRPr="003F05F3" w:rsidRDefault="00125A92" w:rsidP="000415F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Odvod</w:t>
      </w:r>
      <w:r w:rsidR="003F05F3" w:rsidRPr="003F05F3">
        <w:rPr>
          <w:b/>
          <w:bCs/>
          <w:u w:val="single"/>
        </w:rPr>
        <w:t>:</w:t>
      </w:r>
    </w:p>
    <w:p w:rsidR="003F05F3" w:rsidRDefault="003F05F3" w:rsidP="000415FF">
      <w:pPr>
        <w:jc w:val="both"/>
        <w:rPr>
          <w:b/>
          <w:bCs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5528"/>
        <w:gridCol w:w="1417"/>
      </w:tblGrid>
      <w:tr w:rsidR="000415FF" w:rsidRPr="000415FF" w:rsidTr="000415FF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  <w:jc w:val="center"/>
              <w:rPr>
                <w:b/>
                <w:bCs/>
              </w:rPr>
            </w:pPr>
            <w:r w:rsidRPr="000415FF">
              <w:rPr>
                <w:b/>
                <w:bCs/>
              </w:rPr>
              <w:t xml:space="preserve">Účel. </w:t>
            </w:r>
            <w:proofErr w:type="gramStart"/>
            <w:r w:rsidRPr="000415FF">
              <w:rPr>
                <w:b/>
                <w:bCs/>
              </w:rPr>
              <w:t>znak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  <w:jc w:val="center"/>
              <w:rPr>
                <w:b/>
                <w:bCs/>
              </w:rPr>
            </w:pPr>
            <w:r w:rsidRPr="000415FF">
              <w:rPr>
                <w:b/>
                <w:bCs/>
              </w:rPr>
              <w:t>Ukazatel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  <w:jc w:val="center"/>
              <w:rPr>
                <w:b/>
                <w:bCs/>
              </w:rPr>
            </w:pPr>
            <w:r w:rsidRPr="000415FF">
              <w:rPr>
                <w:b/>
                <w:bCs/>
              </w:rPr>
              <w:t>Kč</w:t>
            </w:r>
          </w:p>
        </w:tc>
      </w:tr>
      <w:tr w:rsidR="000415FF" w:rsidRPr="000415FF" w:rsidTr="000415F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  <w:jc w:val="right"/>
            </w:pPr>
            <w:r w:rsidRPr="000415FF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</w:pPr>
            <w:r w:rsidRPr="000415FF">
              <w:t>Ekologický poplatek SFŽP ČR za měsíc 12/2014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  <w:jc w:val="right"/>
            </w:pPr>
            <w:r w:rsidRPr="000415FF">
              <w:t>250 000,00</w:t>
            </w:r>
          </w:p>
        </w:tc>
      </w:tr>
      <w:tr w:rsidR="000415FF" w:rsidRPr="000415FF" w:rsidTr="000415F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  <w:jc w:val="right"/>
            </w:pPr>
            <w:r w:rsidRPr="000415FF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</w:pPr>
            <w:r w:rsidRPr="000415FF">
              <w:t>Předprodej vstupenek realizovaný pro ND Brno za měsíc 12/2014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  <w:jc w:val="right"/>
            </w:pPr>
            <w:r w:rsidRPr="000415FF">
              <w:t>1 323,00</w:t>
            </w:r>
          </w:p>
        </w:tc>
      </w:tr>
      <w:tr w:rsidR="000415FF" w:rsidRPr="000415FF" w:rsidTr="000415FF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  <w:jc w:val="center"/>
              <w:rPr>
                <w:b/>
                <w:bCs/>
              </w:rPr>
            </w:pPr>
            <w:r w:rsidRPr="000415FF">
              <w:rPr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15FF" w:rsidRPr="000415FF" w:rsidRDefault="000415FF" w:rsidP="000415FF">
            <w:pPr>
              <w:autoSpaceDE/>
              <w:autoSpaceDN/>
              <w:jc w:val="right"/>
              <w:rPr>
                <w:b/>
                <w:bCs/>
              </w:rPr>
            </w:pPr>
            <w:r w:rsidRPr="000415FF">
              <w:rPr>
                <w:b/>
                <w:bCs/>
              </w:rPr>
              <w:t>251 323,00</w:t>
            </w:r>
          </w:p>
        </w:tc>
      </w:tr>
    </w:tbl>
    <w:p w:rsidR="005D4D86" w:rsidRPr="003F05F3" w:rsidRDefault="005D4D86" w:rsidP="003F05F3">
      <w:pPr>
        <w:rPr>
          <w:b/>
          <w:bCs/>
        </w:rPr>
      </w:pPr>
    </w:p>
    <w:p w:rsidR="00D4030B" w:rsidRPr="00666F88" w:rsidRDefault="003F05F3" w:rsidP="00D4030B">
      <w:pPr>
        <w:rPr>
          <w:b/>
          <w:u w:val="single"/>
        </w:rPr>
      </w:pPr>
      <w:r>
        <w:rPr>
          <w:b/>
          <w:u w:val="single"/>
        </w:rPr>
        <w:t>Kompenzace:</w:t>
      </w:r>
    </w:p>
    <w:p w:rsidR="00CF2220" w:rsidRPr="00666F88" w:rsidRDefault="00CF2220" w:rsidP="00D4030B">
      <w:bookmarkStart w:id="6" w:name="_MON_1234766393"/>
      <w:bookmarkStart w:id="7" w:name="_MON_1234767050"/>
      <w:bookmarkStart w:id="8" w:name="_MON_1234767108"/>
      <w:bookmarkStart w:id="9" w:name="_MON_1234782362"/>
      <w:bookmarkStart w:id="10" w:name="_MON_1297051914"/>
      <w:bookmarkStart w:id="11" w:name="_MON_1297051976"/>
      <w:bookmarkStart w:id="12" w:name="_MON_1358665979"/>
      <w:bookmarkStart w:id="13" w:name="_MON_1358666115"/>
      <w:bookmarkStart w:id="14" w:name="_MON_1358666128"/>
      <w:bookmarkStart w:id="15" w:name="_MON_1392196471"/>
      <w:bookmarkStart w:id="16" w:name="_MON_1392196555"/>
      <w:bookmarkStart w:id="17" w:name="_MON_1234766316"/>
      <w:bookmarkStart w:id="18" w:name="_MON_123476634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543"/>
        <w:gridCol w:w="1417"/>
      </w:tblGrid>
      <w:tr w:rsidR="005B65C9" w:rsidRPr="005B65C9" w:rsidTr="000415FF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B65C9">
              <w:rPr>
                <w:b/>
                <w:bCs/>
                <w:sz w:val="16"/>
                <w:szCs w:val="16"/>
              </w:rPr>
              <w:t xml:space="preserve">Účel. </w:t>
            </w:r>
            <w:proofErr w:type="gramStart"/>
            <w:r w:rsidRPr="005B65C9">
              <w:rPr>
                <w:b/>
                <w:bCs/>
                <w:sz w:val="16"/>
                <w:szCs w:val="16"/>
              </w:rPr>
              <w:t>znak</w:t>
            </w:r>
            <w:proofErr w:type="gramEnd"/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B65C9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B65C9">
              <w:rPr>
                <w:b/>
                <w:bCs/>
                <w:sz w:val="16"/>
                <w:szCs w:val="16"/>
              </w:rPr>
              <w:t>Kč</w:t>
            </w:r>
          </w:p>
        </w:tc>
      </w:tr>
      <w:tr w:rsidR="005B65C9" w:rsidRPr="005B65C9" w:rsidTr="000415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right"/>
            </w:pPr>
            <w:r w:rsidRPr="005B65C9">
              <w:t>000098178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</w:pPr>
            <w:r w:rsidRPr="005B65C9">
              <w:t>Volby do 1/3 Senátu PČR a do zastupitelstev obcí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right"/>
            </w:pPr>
            <w:r w:rsidRPr="005B65C9">
              <w:t>198 487,36</w:t>
            </w:r>
          </w:p>
        </w:tc>
      </w:tr>
      <w:tr w:rsidR="005B65C9" w:rsidRPr="005B65C9" w:rsidTr="000415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right"/>
            </w:pPr>
            <w:r w:rsidRPr="005B65C9">
              <w:t>000098348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</w:pPr>
            <w:r w:rsidRPr="005B65C9">
              <w:t>Volby do Evropského parlamentu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right"/>
            </w:pPr>
            <w:r w:rsidRPr="005B65C9">
              <w:t>226 297,42</w:t>
            </w:r>
          </w:p>
        </w:tc>
      </w:tr>
      <w:tr w:rsidR="005B65C9" w:rsidRPr="005B65C9" w:rsidTr="000415F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right"/>
            </w:pPr>
            <w:r w:rsidRPr="005B65C9">
              <w:t>000013011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</w:pPr>
            <w:r w:rsidRPr="005B65C9">
              <w:t>Výkon sociálně - právní ochrany dětí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right"/>
            </w:pPr>
            <w:r w:rsidRPr="005B65C9">
              <w:t>57 206,00</w:t>
            </w:r>
          </w:p>
        </w:tc>
      </w:tr>
      <w:tr w:rsidR="005B65C9" w:rsidRPr="005B65C9" w:rsidTr="000415FF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</w:rPr>
            </w:pPr>
            <w:r w:rsidRPr="005B65C9">
              <w:rPr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right"/>
              <w:rPr>
                <w:b/>
                <w:bCs/>
              </w:rPr>
            </w:pPr>
            <w:r w:rsidRPr="005B65C9">
              <w:rPr>
                <w:b/>
                <w:bCs/>
              </w:rPr>
              <w:t>481 990,78</w:t>
            </w:r>
          </w:p>
        </w:tc>
      </w:tr>
    </w:tbl>
    <w:p w:rsidR="00CF2220" w:rsidRPr="003F05F3" w:rsidRDefault="00CF2220" w:rsidP="00D4030B">
      <w:pPr>
        <w:rPr>
          <w:b/>
          <w:u w:val="single"/>
        </w:rPr>
      </w:pPr>
    </w:p>
    <w:p w:rsidR="003F05F3" w:rsidRPr="00666F88" w:rsidRDefault="003F05F3" w:rsidP="003F05F3">
      <w:pPr>
        <w:ind w:firstLine="708"/>
        <w:jc w:val="both"/>
      </w:pPr>
      <w:r w:rsidRPr="00666F88">
        <w:t xml:space="preserve">Komplexní dotační tituly roku 2014 s komentářem jsou uvedeny na str. </w:t>
      </w:r>
      <w:r w:rsidRPr="006B584B">
        <w:t>15</w:t>
      </w:r>
      <w:r w:rsidRPr="00666F88">
        <w:t xml:space="preserve"> tohoto materiálu.</w:t>
      </w:r>
    </w:p>
    <w:p w:rsidR="002C2C65" w:rsidRPr="00666F88" w:rsidRDefault="002C2C65" w:rsidP="002C2C65"/>
    <w:p w:rsidR="00E111C0" w:rsidRDefault="00D4030B" w:rsidP="00E111C0">
      <w:pPr>
        <w:jc w:val="both"/>
      </w:pPr>
      <w:r w:rsidRPr="00666F88">
        <w:t>V</w:t>
      </w:r>
      <w:r w:rsidR="002C2C65" w:rsidRPr="00666F88">
        <w:t xml:space="preserve"> návrhu finančního vypořádání s příspěvkovými organizacemi, jejichž zřizovatelem je </w:t>
      </w:r>
      <w:r w:rsidR="00202A35" w:rsidRPr="00666F88">
        <w:t xml:space="preserve">statutární </w:t>
      </w:r>
      <w:r w:rsidR="002C2C65" w:rsidRPr="00666F88">
        <w:t>město</w:t>
      </w:r>
      <w:r w:rsidR="00ED080C" w:rsidRPr="00666F88">
        <w:t xml:space="preserve"> Prostějov</w:t>
      </w:r>
      <w:r w:rsidR="002C2C65" w:rsidRPr="00666F88">
        <w:t xml:space="preserve">, jsou prostředky </w:t>
      </w:r>
      <w:r w:rsidR="00B700F9" w:rsidRPr="00666F88">
        <w:t>výsledku hospodaření</w:t>
      </w:r>
      <w:r w:rsidR="002C2C65" w:rsidRPr="00666F88">
        <w:t xml:space="preserve"> těchto organizací za rok 20</w:t>
      </w:r>
      <w:r w:rsidR="00B700F9" w:rsidRPr="00666F88">
        <w:t>1</w:t>
      </w:r>
      <w:r w:rsidR="00ED080C" w:rsidRPr="00666F88">
        <w:t>4</w:t>
      </w:r>
      <w:r w:rsidR="002C2C65" w:rsidRPr="00666F88">
        <w:t xml:space="preserve"> navrženy</w:t>
      </w:r>
      <w:r w:rsidRPr="00666F88">
        <w:t>,</w:t>
      </w:r>
      <w:r w:rsidR="002C2C65" w:rsidRPr="00666F88">
        <w:t xml:space="preserve"> na základě jednání kontrolních dnů k výsledkům hospodaření za rok 20</w:t>
      </w:r>
      <w:r w:rsidR="00B700F9" w:rsidRPr="00666F88">
        <w:t>1</w:t>
      </w:r>
      <w:r w:rsidR="00ED080C" w:rsidRPr="00666F88">
        <w:t>4</w:t>
      </w:r>
      <w:r w:rsidRPr="00666F88">
        <w:t>,</w:t>
      </w:r>
      <w:r w:rsidR="002C2C65" w:rsidRPr="00666F88">
        <w:t xml:space="preserve"> k odvodu na účet zřizovatele v celkové výši </w:t>
      </w:r>
      <w:r w:rsidR="002B7475" w:rsidRPr="00666F88">
        <w:rPr>
          <w:b/>
          <w:bCs/>
        </w:rPr>
        <w:t>205.974,97</w:t>
      </w:r>
      <w:r w:rsidR="002C2C65" w:rsidRPr="00666F88">
        <w:rPr>
          <w:b/>
          <w:bCs/>
        </w:rPr>
        <w:t xml:space="preserve"> Kč</w:t>
      </w:r>
      <w:r w:rsidR="002C2C65" w:rsidRPr="00666F88">
        <w:t xml:space="preserve">. Jedná se </w:t>
      </w:r>
      <w:r w:rsidR="007F642F" w:rsidRPr="00666F88">
        <w:t xml:space="preserve">rovněž </w:t>
      </w:r>
      <w:r w:rsidR="002C2C65" w:rsidRPr="00666F88">
        <w:t>o vztah roku 20</w:t>
      </w:r>
      <w:r w:rsidR="00B700F9" w:rsidRPr="00666F88">
        <w:t>1</w:t>
      </w:r>
      <w:r w:rsidR="00ED080C" w:rsidRPr="00666F88">
        <w:t>4</w:t>
      </w:r>
      <w:r w:rsidR="002C2C65" w:rsidRPr="00666F88">
        <w:t xml:space="preserve"> rozpočtově a finančně promítnutý, v případě schválení orgány města, do roku 20</w:t>
      </w:r>
      <w:r w:rsidR="00B700F9" w:rsidRPr="00666F88">
        <w:t>1</w:t>
      </w:r>
      <w:r w:rsidR="00ED080C" w:rsidRPr="00666F88">
        <w:t>5</w:t>
      </w:r>
      <w:r w:rsidR="002C2C65" w:rsidRPr="00666F88">
        <w:t xml:space="preserve">. Jmenovitě jsou jednotlivé organizace a výsledky jejich hospodaření uvedeny dále v textu důvodové zprávy pod odstavcem „Kontrolní dny“, resp. u vyhodnocení plnění </w:t>
      </w:r>
      <w:r w:rsidR="00AD3BDE" w:rsidRPr="00666F88">
        <w:t xml:space="preserve">rozpočtu kapitoly 20 – Školství, </w:t>
      </w:r>
      <w:r w:rsidR="002C2C65" w:rsidRPr="00666F88">
        <w:t>kultury</w:t>
      </w:r>
      <w:r w:rsidR="00AD3BDE" w:rsidRPr="00666F88">
        <w:t xml:space="preserve"> a sportu</w:t>
      </w:r>
      <w:r w:rsidR="002C2C65" w:rsidRPr="00666F88">
        <w:t xml:space="preserve"> a 21 – Sociální věci. </w:t>
      </w:r>
    </w:p>
    <w:p w:rsidR="00B520A7" w:rsidRPr="00E111C0" w:rsidRDefault="002C2C65" w:rsidP="00E111C0">
      <w:pPr>
        <w:pStyle w:val="Prosttext"/>
        <w:ind w:firstLine="720"/>
        <w:jc w:val="both"/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  <w:lang w:eastAsia="cs-CZ"/>
        </w:rPr>
      </w:pPr>
      <w:r w:rsidRPr="00E111C0">
        <w:rPr>
          <w:rFonts w:ascii="Times New Roman" w:hAnsi="Times New Roman" w:cs="Times New Roman"/>
          <w:sz w:val="20"/>
          <w:szCs w:val="20"/>
        </w:rPr>
        <w:t>Pro rok 20</w:t>
      </w:r>
      <w:r w:rsidR="00B700F9" w:rsidRPr="00E111C0">
        <w:rPr>
          <w:rFonts w:ascii="Times New Roman" w:hAnsi="Times New Roman" w:cs="Times New Roman"/>
          <w:sz w:val="20"/>
          <w:szCs w:val="20"/>
        </w:rPr>
        <w:t>1</w:t>
      </w:r>
      <w:r w:rsidR="00A61D3C" w:rsidRPr="00E111C0">
        <w:rPr>
          <w:rFonts w:ascii="Times New Roman" w:hAnsi="Times New Roman" w:cs="Times New Roman"/>
          <w:sz w:val="20"/>
          <w:szCs w:val="20"/>
        </w:rPr>
        <w:t>4</w:t>
      </w:r>
      <w:r w:rsidRPr="00E111C0">
        <w:rPr>
          <w:rFonts w:ascii="Times New Roman" w:hAnsi="Times New Roman" w:cs="Times New Roman"/>
          <w:sz w:val="20"/>
          <w:szCs w:val="20"/>
        </w:rPr>
        <w:t xml:space="preserve"> nárokují některé kapitoly blokaci finančních prostředků na akce, které byly finančně zajištěny rozpočtem roku 20</w:t>
      </w:r>
      <w:r w:rsidR="00B700F9" w:rsidRPr="00E111C0">
        <w:rPr>
          <w:rFonts w:ascii="Times New Roman" w:hAnsi="Times New Roman" w:cs="Times New Roman"/>
          <w:sz w:val="20"/>
          <w:szCs w:val="20"/>
        </w:rPr>
        <w:t>1</w:t>
      </w:r>
      <w:r w:rsidR="00CF2220" w:rsidRPr="00E111C0">
        <w:rPr>
          <w:rFonts w:ascii="Times New Roman" w:hAnsi="Times New Roman" w:cs="Times New Roman"/>
          <w:sz w:val="20"/>
          <w:szCs w:val="20"/>
        </w:rPr>
        <w:t>4</w:t>
      </w:r>
      <w:r w:rsidRPr="00E111C0">
        <w:rPr>
          <w:rFonts w:ascii="Times New Roman" w:hAnsi="Times New Roman" w:cs="Times New Roman"/>
          <w:sz w:val="20"/>
          <w:szCs w:val="20"/>
        </w:rPr>
        <w:t>, ale prostředky nebyly čerpány vůbec nebo jen částečně a jsou nutné pro dokončení jmenovitých akcí v roce 20</w:t>
      </w:r>
      <w:r w:rsidR="00B700F9" w:rsidRPr="00E111C0">
        <w:rPr>
          <w:rFonts w:ascii="Times New Roman" w:hAnsi="Times New Roman" w:cs="Times New Roman"/>
          <w:sz w:val="20"/>
          <w:szCs w:val="20"/>
        </w:rPr>
        <w:t>1</w:t>
      </w:r>
      <w:r w:rsidR="00CF2220" w:rsidRPr="00E111C0">
        <w:rPr>
          <w:rFonts w:ascii="Times New Roman" w:hAnsi="Times New Roman" w:cs="Times New Roman"/>
          <w:sz w:val="20"/>
          <w:szCs w:val="20"/>
        </w:rPr>
        <w:t>5</w:t>
      </w:r>
      <w:r w:rsidRPr="00E111C0">
        <w:rPr>
          <w:rFonts w:ascii="Times New Roman" w:hAnsi="Times New Roman" w:cs="Times New Roman"/>
          <w:sz w:val="20"/>
          <w:szCs w:val="20"/>
        </w:rPr>
        <w:t>, popř. jejich pokračování v letech následujících</w:t>
      </w:r>
      <w:r w:rsidR="00A61D3C" w:rsidRPr="00E111C0">
        <w:rPr>
          <w:rFonts w:ascii="Times New Roman" w:hAnsi="Times New Roman" w:cs="Times New Roman"/>
          <w:sz w:val="20"/>
          <w:szCs w:val="20"/>
        </w:rPr>
        <w:t>,</w:t>
      </w:r>
      <w:r w:rsidRPr="00E111C0">
        <w:rPr>
          <w:rFonts w:ascii="Times New Roman" w:hAnsi="Times New Roman" w:cs="Times New Roman"/>
          <w:sz w:val="20"/>
          <w:szCs w:val="20"/>
        </w:rPr>
        <w:t xml:space="preserve"> v celkové částce </w:t>
      </w:r>
      <w:r w:rsidR="001D685D" w:rsidRPr="00E111C0">
        <w:rPr>
          <w:rFonts w:ascii="Times New Roman" w:hAnsi="Times New Roman" w:cs="Times New Roman"/>
          <w:b/>
          <w:bCs/>
          <w:sz w:val="20"/>
          <w:szCs w:val="20"/>
        </w:rPr>
        <w:t>6.5</w:t>
      </w:r>
      <w:r w:rsidR="00DE34A7" w:rsidRPr="00E111C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1D685D" w:rsidRPr="00E111C0">
        <w:rPr>
          <w:rFonts w:ascii="Times New Roman" w:hAnsi="Times New Roman" w:cs="Times New Roman"/>
          <w:b/>
          <w:bCs/>
          <w:sz w:val="20"/>
          <w:szCs w:val="20"/>
        </w:rPr>
        <w:t>8.670</w:t>
      </w:r>
      <w:r w:rsidRPr="00E111C0">
        <w:rPr>
          <w:rFonts w:ascii="Times New Roman" w:hAnsi="Times New Roman" w:cs="Times New Roman"/>
          <w:b/>
          <w:bCs/>
          <w:sz w:val="20"/>
          <w:szCs w:val="20"/>
        </w:rPr>
        <w:t xml:space="preserve"> Kč</w:t>
      </w:r>
      <w:r w:rsidRPr="00E111C0">
        <w:rPr>
          <w:rFonts w:ascii="Times New Roman" w:hAnsi="Times New Roman" w:cs="Times New Roman"/>
          <w:sz w:val="20"/>
          <w:szCs w:val="20"/>
        </w:rPr>
        <w:t>. Jde o následující jmenovité akce a jejich finanční náročnost:</w:t>
      </w:r>
    </w:p>
    <w:p w:rsidR="009364AD" w:rsidRPr="00E111C0" w:rsidRDefault="009364AD" w:rsidP="005B65C9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134"/>
        <w:gridCol w:w="1275"/>
      </w:tblGrid>
      <w:tr w:rsidR="005B65C9" w:rsidRPr="005B65C9" w:rsidTr="001D685D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5C9">
              <w:rPr>
                <w:b/>
                <w:bCs/>
                <w:color w:val="000000"/>
                <w:sz w:val="16"/>
                <w:szCs w:val="16"/>
              </w:rPr>
              <w:t>Akce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5C9">
              <w:rPr>
                <w:b/>
                <w:bCs/>
                <w:color w:val="000000"/>
                <w:sz w:val="16"/>
                <w:szCs w:val="16"/>
              </w:rPr>
              <w:t>Kapitola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5C9">
              <w:rPr>
                <w:b/>
                <w:bCs/>
                <w:color w:val="000000"/>
                <w:sz w:val="16"/>
                <w:szCs w:val="16"/>
              </w:rPr>
              <w:t>Kč</w:t>
            </w:r>
          </w:p>
        </w:tc>
      </w:tr>
      <w:tr w:rsidR="001D685D" w:rsidRPr="005B65C9" w:rsidTr="001D685D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5D" w:rsidRPr="001D685D" w:rsidRDefault="001D685D" w:rsidP="001D685D">
            <w:pPr>
              <w:autoSpaceDE/>
              <w:autoSpaceDN/>
              <w:rPr>
                <w:bCs/>
                <w:color w:val="000000"/>
              </w:rPr>
            </w:pPr>
            <w:r w:rsidRPr="001D685D">
              <w:rPr>
                <w:bCs/>
                <w:color w:val="000000"/>
              </w:rPr>
              <w:t>Faktura za propagační služby od firmy TK PLUS, s.r.o</w:t>
            </w:r>
            <w:r w:rsidR="00AD4486">
              <w:rPr>
                <w:bCs/>
                <w:color w:val="000000"/>
              </w:rPr>
              <w:t>.</w:t>
            </w:r>
            <w:r w:rsidRPr="001D685D">
              <w:rPr>
                <w:bCs/>
                <w:color w:val="000000"/>
              </w:rPr>
              <w:t xml:space="preserve"> za </w:t>
            </w:r>
            <w:proofErr w:type="gramStart"/>
            <w:r w:rsidRPr="001D685D">
              <w:rPr>
                <w:bCs/>
                <w:color w:val="000000"/>
              </w:rPr>
              <w:t>IV.Q. přišla</w:t>
            </w:r>
            <w:proofErr w:type="gramEnd"/>
            <w:r w:rsidRPr="001D685D">
              <w:rPr>
                <w:bCs/>
                <w:color w:val="000000"/>
              </w:rPr>
              <w:t xml:space="preserve"> až v lednu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5D" w:rsidRPr="001D685D" w:rsidRDefault="001D685D" w:rsidP="005B65C9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1D685D">
              <w:rPr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5D" w:rsidRPr="001D685D" w:rsidRDefault="001D685D" w:rsidP="001D685D">
            <w:pPr>
              <w:autoSpaceDE/>
              <w:autoSpaceDN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1 058 750,00</w:t>
            </w:r>
          </w:p>
        </w:tc>
      </w:tr>
      <w:tr w:rsidR="005B65C9" w:rsidRPr="005B65C9" w:rsidTr="001D685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rPr>
                <w:color w:val="000000"/>
              </w:rPr>
            </w:pPr>
            <w:r w:rsidRPr="005B65C9">
              <w:rPr>
                <w:color w:val="000000"/>
              </w:rPr>
              <w:t xml:space="preserve">Pozemek </w:t>
            </w:r>
            <w:proofErr w:type="spellStart"/>
            <w:r w:rsidRPr="005B65C9">
              <w:rPr>
                <w:color w:val="000000"/>
              </w:rPr>
              <w:t>Galva</w:t>
            </w:r>
            <w:proofErr w:type="spellEnd"/>
            <w:r w:rsidRPr="005B65C9">
              <w:rPr>
                <w:color w:val="000000"/>
              </w:rPr>
              <w:t xml:space="preserve"> s.r.o.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color w:val="000000"/>
              </w:rPr>
            </w:pPr>
            <w:r w:rsidRPr="005B65C9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1D685D">
            <w:pPr>
              <w:autoSpaceDE/>
              <w:autoSpaceDN/>
              <w:jc w:val="right"/>
              <w:rPr>
                <w:color w:val="000000"/>
              </w:rPr>
            </w:pPr>
            <w:r w:rsidRPr="005B65C9">
              <w:rPr>
                <w:color w:val="000000"/>
              </w:rPr>
              <w:t>3 269 120,00</w:t>
            </w:r>
          </w:p>
        </w:tc>
      </w:tr>
      <w:tr w:rsidR="005B65C9" w:rsidRPr="005B65C9" w:rsidTr="001D685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rPr>
                <w:color w:val="000000"/>
              </w:rPr>
            </w:pPr>
            <w:r w:rsidRPr="005B65C9">
              <w:rPr>
                <w:color w:val="000000"/>
              </w:rPr>
              <w:t>Výkupy pozemků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color w:val="000000"/>
              </w:rPr>
            </w:pPr>
            <w:r w:rsidRPr="005B65C9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1D685D">
            <w:pPr>
              <w:autoSpaceDE/>
              <w:autoSpaceDN/>
              <w:jc w:val="right"/>
              <w:rPr>
                <w:color w:val="000000"/>
              </w:rPr>
            </w:pPr>
            <w:r w:rsidRPr="005B65C9">
              <w:rPr>
                <w:color w:val="000000"/>
              </w:rPr>
              <w:t>2 023 500,00</w:t>
            </w:r>
          </w:p>
        </w:tc>
      </w:tr>
      <w:tr w:rsidR="005B65C9" w:rsidRPr="005B65C9" w:rsidTr="001D685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</w:pPr>
            <w:r w:rsidRPr="005B65C9">
              <w:t xml:space="preserve">Výkupy pozemků - CS </w:t>
            </w:r>
            <w:proofErr w:type="spellStart"/>
            <w:r w:rsidRPr="005B65C9">
              <w:t>Žešov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color w:val="000000"/>
              </w:rPr>
            </w:pPr>
            <w:r w:rsidRPr="005B65C9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C9" w:rsidRPr="005B65C9" w:rsidRDefault="005B65C9" w:rsidP="001D685D">
            <w:pPr>
              <w:autoSpaceDE/>
              <w:autoSpaceDN/>
              <w:jc w:val="right"/>
              <w:rPr>
                <w:color w:val="000000"/>
              </w:rPr>
            </w:pPr>
            <w:r w:rsidRPr="005B65C9">
              <w:rPr>
                <w:color w:val="000000"/>
              </w:rPr>
              <w:t>207 300,00</w:t>
            </w:r>
          </w:p>
        </w:tc>
      </w:tr>
      <w:tr w:rsidR="005B65C9" w:rsidRPr="005B65C9" w:rsidTr="001D685D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B65C9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rPr>
                <w:color w:val="000000"/>
              </w:rPr>
            </w:pPr>
            <w:r w:rsidRPr="005B65C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1D685D" w:rsidP="00DE34A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="00DE34A7">
              <w:rPr>
                <w:b/>
                <w:bCs/>
                <w:color w:val="000000"/>
              </w:rPr>
              <w:t>558</w:t>
            </w:r>
            <w:r>
              <w:rPr>
                <w:b/>
                <w:bCs/>
                <w:color w:val="000000"/>
              </w:rPr>
              <w:t xml:space="preserve"> 670</w:t>
            </w:r>
            <w:r w:rsidR="005B65C9" w:rsidRPr="005B65C9">
              <w:rPr>
                <w:b/>
                <w:bCs/>
                <w:color w:val="000000"/>
              </w:rPr>
              <w:t>,00</w:t>
            </w:r>
          </w:p>
        </w:tc>
      </w:tr>
    </w:tbl>
    <w:p w:rsidR="005B65C9" w:rsidRPr="00666F88" w:rsidRDefault="005B65C9" w:rsidP="00644B84">
      <w:pPr>
        <w:ind w:firstLine="708"/>
        <w:jc w:val="both"/>
      </w:pPr>
    </w:p>
    <w:p w:rsidR="00ED6D93" w:rsidRPr="00666F88" w:rsidRDefault="002C2C65" w:rsidP="00644B84">
      <w:pPr>
        <w:ind w:firstLine="708"/>
        <w:jc w:val="both"/>
      </w:pPr>
      <w:r w:rsidRPr="00666F88">
        <w:t>Plnění příjmů v konsolidované podobě (</w:t>
      </w:r>
      <w:r w:rsidR="00A9765D" w:rsidRPr="00666F88">
        <w:rPr>
          <w:b/>
        </w:rPr>
        <w:t xml:space="preserve">upravený </w:t>
      </w:r>
      <w:r w:rsidR="00EF7AAB" w:rsidRPr="00666F88">
        <w:rPr>
          <w:b/>
          <w:bCs/>
        </w:rPr>
        <w:t>rozpočet</w:t>
      </w:r>
      <w:r w:rsidR="002E4AEB" w:rsidRPr="00666F88">
        <w:rPr>
          <w:b/>
          <w:bCs/>
        </w:rPr>
        <w:t xml:space="preserve">: </w:t>
      </w:r>
      <w:r w:rsidR="00E72D54" w:rsidRPr="00666F88">
        <w:rPr>
          <w:b/>
          <w:bCs/>
        </w:rPr>
        <w:t>798.078.394,94</w:t>
      </w:r>
      <w:r w:rsidR="00EF7AAB" w:rsidRPr="00666F88">
        <w:rPr>
          <w:b/>
          <w:bCs/>
        </w:rPr>
        <w:t xml:space="preserve"> Kč; skutečnost</w:t>
      </w:r>
      <w:r w:rsidR="002E4AEB" w:rsidRPr="00666F88">
        <w:rPr>
          <w:b/>
          <w:bCs/>
        </w:rPr>
        <w:t>:</w:t>
      </w:r>
      <w:r w:rsidR="00EF7AAB" w:rsidRPr="00666F88">
        <w:rPr>
          <w:b/>
          <w:bCs/>
        </w:rPr>
        <w:t xml:space="preserve"> </w:t>
      </w:r>
      <w:r w:rsidR="00E72D54" w:rsidRPr="00666F88">
        <w:rPr>
          <w:b/>
          <w:bCs/>
        </w:rPr>
        <w:t>851.912.355,51</w:t>
      </w:r>
      <w:r w:rsidR="00EF7AAB" w:rsidRPr="00666F88">
        <w:rPr>
          <w:b/>
          <w:bCs/>
        </w:rPr>
        <w:t xml:space="preserve"> Kč</w:t>
      </w:r>
      <w:r w:rsidRPr="00666F88">
        <w:rPr>
          <w:b/>
          <w:bCs/>
        </w:rPr>
        <w:t xml:space="preserve">; plnění: </w:t>
      </w:r>
      <w:r w:rsidR="00A9765D" w:rsidRPr="00666F88">
        <w:rPr>
          <w:b/>
          <w:bCs/>
        </w:rPr>
        <w:t>106,</w:t>
      </w:r>
      <w:r w:rsidR="00E72D54" w:rsidRPr="00666F88">
        <w:rPr>
          <w:b/>
          <w:bCs/>
        </w:rPr>
        <w:t>75</w:t>
      </w:r>
      <w:r w:rsidRPr="00666F88">
        <w:rPr>
          <w:b/>
          <w:bCs/>
        </w:rPr>
        <w:t>%</w:t>
      </w:r>
      <w:r w:rsidRPr="00666F88">
        <w:t xml:space="preserve">) ovlivnila ve sledovaném období svým finančním objemem zejména kapitola </w:t>
      </w:r>
      <w:r w:rsidR="00EF7AAB" w:rsidRPr="00666F88">
        <w:t xml:space="preserve">50 – Správa </w:t>
      </w:r>
      <w:r w:rsidR="0027171D" w:rsidRPr="00666F88">
        <w:t>a nakládání s majetkem města</w:t>
      </w:r>
      <w:r w:rsidR="00EF7AAB" w:rsidRPr="00666F88">
        <w:t xml:space="preserve">, </w:t>
      </w:r>
      <w:r w:rsidR="00BD0737" w:rsidRPr="00666F88">
        <w:t>70 – Finanční</w:t>
      </w:r>
      <w:r w:rsidR="00CD60E9" w:rsidRPr="00666F88">
        <w:t xml:space="preserve"> </w:t>
      </w:r>
      <w:r w:rsidR="00BD0737" w:rsidRPr="00666F88">
        <w:t xml:space="preserve">a </w:t>
      </w:r>
      <w:r w:rsidR="008E6BC9" w:rsidRPr="00666F88">
        <w:t>9</w:t>
      </w:r>
      <w:r w:rsidR="00B14E9A" w:rsidRPr="00666F88">
        <w:t>0</w:t>
      </w:r>
      <w:r w:rsidR="008E6BC9" w:rsidRPr="00666F88">
        <w:t xml:space="preserve"> – Správa </w:t>
      </w:r>
      <w:r w:rsidR="00B14E9A" w:rsidRPr="00666F88">
        <w:t>a údržba majetku města</w:t>
      </w:r>
      <w:r w:rsidR="008E6BC9" w:rsidRPr="00666F88">
        <w:t>.</w:t>
      </w:r>
    </w:p>
    <w:p w:rsidR="003D4A18" w:rsidRPr="00666F88" w:rsidRDefault="0027171D" w:rsidP="00F80652">
      <w:pPr>
        <w:ind w:firstLine="708"/>
        <w:jc w:val="both"/>
      </w:pPr>
      <w:r w:rsidRPr="00666F88">
        <w:t>Kapitola</w:t>
      </w:r>
      <w:r w:rsidR="00EF7AAB" w:rsidRPr="00666F88">
        <w:t xml:space="preserve"> 50 – </w:t>
      </w:r>
      <w:r w:rsidRPr="00666F88">
        <w:t xml:space="preserve">Správa a nakládání s majetkem města </w:t>
      </w:r>
      <w:r w:rsidR="00EF7AAB" w:rsidRPr="00666F88">
        <w:t>(</w:t>
      </w:r>
      <w:r w:rsidR="00EF7AAB" w:rsidRPr="00666F88">
        <w:rPr>
          <w:b/>
        </w:rPr>
        <w:t xml:space="preserve">plnění na </w:t>
      </w:r>
      <w:r w:rsidR="00A036D7" w:rsidRPr="00666F88">
        <w:rPr>
          <w:b/>
          <w:bCs/>
        </w:rPr>
        <w:t>112,21</w:t>
      </w:r>
      <w:r w:rsidR="00EF7AAB" w:rsidRPr="00666F88">
        <w:rPr>
          <w:b/>
          <w:bCs/>
        </w:rPr>
        <w:t xml:space="preserve">%; v absolutní finanční hodnotě jde o částku </w:t>
      </w:r>
      <w:r w:rsidR="003D4A18" w:rsidRPr="00666F88">
        <w:rPr>
          <w:b/>
          <w:bCs/>
        </w:rPr>
        <w:t>6.543.501,34</w:t>
      </w:r>
      <w:r w:rsidR="00EF7AAB" w:rsidRPr="00666F88">
        <w:rPr>
          <w:b/>
          <w:bCs/>
        </w:rPr>
        <w:t xml:space="preserve"> Kč vyšší</w:t>
      </w:r>
      <w:r w:rsidR="00FF6911" w:rsidRPr="00666F88">
        <w:rPr>
          <w:b/>
          <w:bCs/>
        </w:rPr>
        <w:t>,</w:t>
      </w:r>
      <w:r w:rsidR="00EF7AAB" w:rsidRPr="00666F88">
        <w:rPr>
          <w:b/>
          <w:bCs/>
        </w:rPr>
        <w:t xml:space="preserve"> než byla rozpočtována</w:t>
      </w:r>
      <w:r w:rsidR="00EF7AAB" w:rsidRPr="00666F88">
        <w:t>)</w:t>
      </w:r>
      <w:r w:rsidRPr="00666F88">
        <w:t xml:space="preserve">. </w:t>
      </w:r>
      <w:r w:rsidR="003D4A18" w:rsidRPr="00666F88">
        <w:t>Přestože bylo koncem roku provedeno navýšení příslušných položek předložením rozpočtového opatření, byly ještě v prosinci uhrazeny platby, které do této úpravy nebyly zahrnuty – zejména zvýšené nájemné od společnosti Lesy města Prostějova, s.r.o. (6.050 tis. Kč). Tato skutečnost zásadně ovlivnila plnění příjmové části rozpočtu kapitoly 50.</w:t>
      </w:r>
    </w:p>
    <w:p w:rsidR="005F4879" w:rsidRPr="00666F88" w:rsidRDefault="00DD58FF" w:rsidP="00E97DB8">
      <w:pPr>
        <w:ind w:firstLine="708"/>
        <w:jc w:val="both"/>
        <w:rPr>
          <w:b/>
          <w:bCs/>
        </w:rPr>
      </w:pPr>
      <w:r w:rsidRPr="00666F88">
        <w:t xml:space="preserve">Plnění </w:t>
      </w:r>
      <w:r w:rsidR="001D7A7A" w:rsidRPr="00666F88">
        <w:t xml:space="preserve">příjmů </w:t>
      </w:r>
      <w:r w:rsidRPr="00666F88">
        <w:t>rozpoč</w:t>
      </w:r>
      <w:r w:rsidR="00976C58" w:rsidRPr="00666F88">
        <w:t>tu kapitoly</w:t>
      </w:r>
      <w:r w:rsidR="002C2C65" w:rsidRPr="00666F88">
        <w:t xml:space="preserve"> </w:t>
      </w:r>
      <w:r w:rsidR="00BD0737" w:rsidRPr="00666F88">
        <w:t xml:space="preserve">70 – Finanční </w:t>
      </w:r>
      <w:r w:rsidR="002C2C65" w:rsidRPr="00666F88">
        <w:t>(</w:t>
      </w:r>
      <w:r w:rsidR="00BD0737" w:rsidRPr="00666F88">
        <w:rPr>
          <w:b/>
        </w:rPr>
        <w:t xml:space="preserve">plnění na </w:t>
      </w:r>
      <w:r w:rsidR="004A6A7C" w:rsidRPr="00666F88">
        <w:rPr>
          <w:b/>
          <w:bCs/>
        </w:rPr>
        <w:t>108,</w:t>
      </w:r>
      <w:r w:rsidR="003D4A18" w:rsidRPr="00666F88">
        <w:rPr>
          <w:b/>
          <w:bCs/>
        </w:rPr>
        <w:t>43</w:t>
      </w:r>
      <w:r w:rsidR="002C2C65" w:rsidRPr="00666F88">
        <w:rPr>
          <w:b/>
          <w:bCs/>
        </w:rPr>
        <w:t xml:space="preserve">%; v absolutní finanční hodnotě jde o částku </w:t>
      </w:r>
      <w:r w:rsidR="00E97DB8" w:rsidRPr="00666F88">
        <w:rPr>
          <w:b/>
          <w:bCs/>
        </w:rPr>
        <w:t>49.898.611,73</w:t>
      </w:r>
      <w:r w:rsidR="002C2C65" w:rsidRPr="00666F88">
        <w:rPr>
          <w:b/>
          <w:bCs/>
        </w:rPr>
        <w:t xml:space="preserve"> Kč </w:t>
      </w:r>
      <w:r w:rsidR="00F35318" w:rsidRPr="00666F88">
        <w:rPr>
          <w:b/>
          <w:bCs/>
        </w:rPr>
        <w:t>vyšší</w:t>
      </w:r>
      <w:r w:rsidR="00FF6911" w:rsidRPr="00666F88">
        <w:rPr>
          <w:b/>
          <w:bCs/>
        </w:rPr>
        <w:t>,</w:t>
      </w:r>
      <w:r w:rsidR="002C2C65" w:rsidRPr="00666F88">
        <w:rPr>
          <w:b/>
          <w:bCs/>
        </w:rPr>
        <w:t xml:space="preserve"> než byla rozpočtována</w:t>
      </w:r>
      <w:r w:rsidR="002C2C65" w:rsidRPr="00666F88">
        <w:t xml:space="preserve">) </w:t>
      </w:r>
      <w:r w:rsidR="00976C58" w:rsidRPr="00666F88">
        <w:t xml:space="preserve">ovlivnilo </w:t>
      </w:r>
      <w:r w:rsidR="00057F08" w:rsidRPr="00666F88">
        <w:t xml:space="preserve">zejména </w:t>
      </w:r>
      <w:r w:rsidR="00B530C1" w:rsidRPr="00666F88">
        <w:t>inkaso daňových příjmů</w:t>
      </w:r>
      <w:r w:rsidR="00C72518" w:rsidRPr="00666F88">
        <w:t xml:space="preserve"> (třída 1</w:t>
      </w:r>
      <w:r w:rsidR="00506239" w:rsidRPr="00666F88">
        <w:t xml:space="preserve"> celkem</w:t>
      </w:r>
      <w:r w:rsidR="00C72518" w:rsidRPr="00666F88">
        <w:t>)</w:t>
      </w:r>
      <w:r w:rsidR="00976C58" w:rsidRPr="00666F88">
        <w:t xml:space="preserve">, které bylo </w:t>
      </w:r>
      <w:r w:rsidR="00E12C66" w:rsidRPr="00666F88">
        <w:t>vyšší</w:t>
      </w:r>
      <w:r w:rsidR="00976C58" w:rsidRPr="00666F88">
        <w:t xml:space="preserve"> celkově o </w:t>
      </w:r>
      <w:r w:rsidR="00506239" w:rsidRPr="00666F88">
        <w:t>44,35</w:t>
      </w:r>
      <w:r w:rsidR="00976C58" w:rsidRPr="00666F88">
        <w:t xml:space="preserve"> mil</w:t>
      </w:r>
      <w:r w:rsidR="0095739A" w:rsidRPr="00666F88">
        <w:t>.</w:t>
      </w:r>
      <w:r w:rsidR="00976C58" w:rsidRPr="00666F88">
        <w:t xml:space="preserve"> Kč. Na </w:t>
      </w:r>
      <w:r w:rsidR="00E12C66" w:rsidRPr="00666F88">
        <w:t>vyšším</w:t>
      </w:r>
      <w:r w:rsidR="00976C58" w:rsidRPr="00666F88">
        <w:t xml:space="preserve"> výnosu </w:t>
      </w:r>
      <w:r w:rsidR="00C72518" w:rsidRPr="00666F88">
        <w:t>daňových příjmů</w:t>
      </w:r>
      <w:r w:rsidR="00976C58" w:rsidRPr="00666F88">
        <w:t xml:space="preserve"> </w:t>
      </w:r>
      <w:r w:rsidR="00DD6CF7" w:rsidRPr="00666F88">
        <w:t>se</w:t>
      </w:r>
      <w:r w:rsidR="00976C58" w:rsidRPr="00666F88">
        <w:t xml:space="preserve"> </w:t>
      </w:r>
      <w:r w:rsidR="00654465" w:rsidRPr="00666F88">
        <w:t>podílely daně z příjmu fyzických osob (</w:t>
      </w:r>
      <w:r w:rsidR="00506239" w:rsidRPr="00666F88">
        <w:t>položka 111X</w:t>
      </w:r>
      <w:r w:rsidR="00654465" w:rsidRPr="00666F88">
        <w:t xml:space="preserve">) částkou </w:t>
      </w:r>
      <w:r w:rsidR="003E0264" w:rsidRPr="00666F88">
        <w:t>6,53</w:t>
      </w:r>
      <w:r w:rsidR="00654465" w:rsidRPr="00666F88">
        <w:t xml:space="preserve"> mil. Kč, daně z příjmů právnických osob (</w:t>
      </w:r>
      <w:r w:rsidR="003E0264" w:rsidRPr="00666F88">
        <w:t>položka 112X</w:t>
      </w:r>
      <w:r w:rsidR="00654465" w:rsidRPr="00666F88">
        <w:t xml:space="preserve">) částkou </w:t>
      </w:r>
      <w:r w:rsidR="003E0264" w:rsidRPr="00666F88">
        <w:t>13,47</w:t>
      </w:r>
      <w:r w:rsidR="00654465" w:rsidRPr="00666F88">
        <w:t xml:space="preserve"> mil. Kč, daň z přidané hodnoty (</w:t>
      </w:r>
      <w:r w:rsidR="003E0264" w:rsidRPr="00666F88">
        <w:t>položka 1211</w:t>
      </w:r>
      <w:r w:rsidR="00654465" w:rsidRPr="00666F88">
        <w:t xml:space="preserve">) částkou </w:t>
      </w:r>
      <w:r w:rsidR="003E0264" w:rsidRPr="00666F88">
        <w:t>15,66</w:t>
      </w:r>
      <w:r w:rsidR="00654465" w:rsidRPr="00666F88">
        <w:t xml:space="preserve"> mil. Kč, daně a poplatky z vybraných činností a služeb, vč. loterií a podobných her a výherních hracích přístrojů (</w:t>
      </w:r>
      <w:r w:rsidR="003E0264" w:rsidRPr="00666F88">
        <w:t>položka 13XX</w:t>
      </w:r>
      <w:r w:rsidR="00654465" w:rsidRPr="00666F88">
        <w:t xml:space="preserve">), částkou </w:t>
      </w:r>
      <w:r w:rsidR="003E0264" w:rsidRPr="00666F88">
        <w:t>6,7</w:t>
      </w:r>
      <w:r w:rsidR="00654465" w:rsidRPr="00666F88">
        <w:t xml:space="preserve"> mil. Kč a daň z</w:t>
      </w:r>
      <w:r w:rsidR="003E0264" w:rsidRPr="00666F88">
        <w:t> nemovitých věcí (položka 1511)</w:t>
      </w:r>
      <w:r w:rsidR="00654465" w:rsidRPr="00666F88">
        <w:t xml:space="preserve"> částkou </w:t>
      </w:r>
      <w:r w:rsidR="003E0264" w:rsidRPr="00666F88">
        <w:t>1,99</w:t>
      </w:r>
      <w:r w:rsidR="00654465" w:rsidRPr="00666F88">
        <w:t xml:space="preserve"> mil. Kč. Další významnou částkou, která ovlivnila plnění příjmů je částka </w:t>
      </w:r>
      <w:r w:rsidR="003E0264" w:rsidRPr="00666F88">
        <w:t>3,63</w:t>
      </w:r>
      <w:r w:rsidR="00654465" w:rsidRPr="00666F88">
        <w:t xml:space="preserve"> mil. Kč, převod deponovaných prostředků roku 201</w:t>
      </w:r>
      <w:r w:rsidR="003E0264" w:rsidRPr="00666F88">
        <w:t>3</w:t>
      </w:r>
      <w:r w:rsidR="00F80652" w:rsidRPr="00666F88">
        <w:t xml:space="preserve"> do příjmů roku 201</w:t>
      </w:r>
      <w:r w:rsidR="003E0264" w:rsidRPr="00666F88">
        <w:t>4</w:t>
      </w:r>
      <w:r w:rsidR="00F80652" w:rsidRPr="00666F88">
        <w:t xml:space="preserve"> (depozitní účet). </w:t>
      </w:r>
      <w:r w:rsidR="00956E1B" w:rsidRPr="00666F88">
        <w:rPr>
          <w:b/>
          <w:bCs/>
          <w:u w:val="single"/>
        </w:rPr>
        <w:t xml:space="preserve">Příjmy kapitoly svým finančním objemem </w:t>
      </w:r>
      <w:r w:rsidR="00956E1B" w:rsidRPr="00666F88">
        <w:rPr>
          <w:b/>
          <w:bCs/>
          <w:u w:val="single"/>
        </w:rPr>
        <w:lastRenderedPageBreak/>
        <w:t xml:space="preserve">(rozpočet = </w:t>
      </w:r>
      <w:r w:rsidR="000C30E6" w:rsidRPr="00666F88">
        <w:rPr>
          <w:b/>
          <w:bCs/>
          <w:u w:val="single"/>
        </w:rPr>
        <w:t>592.191,76</w:t>
      </w:r>
      <w:r w:rsidR="00956E1B" w:rsidRPr="00666F88">
        <w:rPr>
          <w:b/>
          <w:bCs/>
          <w:u w:val="single"/>
        </w:rPr>
        <w:t xml:space="preserve"> tis. Kč; skutečnost = </w:t>
      </w:r>
      <w:r w:rsidR="000C30E6" w:rsidRPr="00666F88">
        <w:rPr>
          <w:b/>
          <w:bCs/>
          <w:u w:val="single"/>
        </w:rPr>
        <w:t>642.090,37</w:t>
      </w:r>
      <w:r w:rsidR="00956E1B" w:rsidRPr="00666F88">
        <w:rPr>
          <w:b/>
          <w:bCs/>
          <w:u w:val="single"/>
        </w:rPr>
        <w:t xml:space="preserve"> tis. Kč) rozhodnou měrou ovlivnily plnění celkových příjmů rozpočtu města v období rozpočtového roku 201</w:t>
      </w:r>
      <w:r w:rsidR="000C30E6" w:rsidRPr="00666F88">
        <w:rPr>
          <w:b/>
          <w:bCs/>
          <w:u w:val="single"/>
        </w:rPr>
        <w:t>4</w:t>
      </w:r>
      <w:r w:rsidR="00956E1B" w:rsidRPr="00666F88">
        <w:rPr>
          <w:b/>
          <w:bCs/>
          <w:u w:val="single"/>
        </w:rPr>
        <w:t>.</w:t>
      </w:r>
    </w:p>
    <w:p w:rsidR="002E4AEB" w:rsidRPr="00666F88" w:rsidRDefault="00C50576" w:rsidP="00F80652">
      <w:pPr>
        <w:ind w:firstLine="708"/>
        <w:jc w:val="both"/>
      </w:pPr>
      <w:r w:rsidRPr="00666F88">
        <w:t>U kapitoly 9</w:t>
      </w:r>
      <w:r w:rsidR="005F4879" w:rsidRPr="00666F88">
        <w:t>0</w:t>
      </w:r>
      <w:r w:rsidRPr="00666F88">
        <w:t xml:space="preserve"> – Správa </w:t>
      </w:r>
      <w:r w:rsidR="005F4879" w:rsidRPr="00666F88">
        <w:t>a údržba majetku města</w:t>
      </w:r>
      <w:r w:rsidRPr="00666F88">
        <w:t xml:space="preserve"> (</w:t>
      </w:r>
      <w:r w:rsidRPr="00666F88">
        <w:rPr>
          <w:b/>
        </w:rPr>
        <w:t>plnění na</w:t>
      </w:r>
      <w:r w:rsidRPr="00666F88">
        <w:t xml:space="preserve"> </w:t>
      </w:r>
      <w:r w:rsidR="000C30E6" w:rsidRPr="00666F88">
        <w:rPr>
          <w:b/>
          <w:bCs/>
        </w:rPr>
        <w:t>95,95</w:t>
      </w:r>
      <w:r w:rsidRPr="00666F88">
        <w:rPr>
          <w:b/>
          <w:bCs/>
        </w:rPr>
        <w:t xml:space="preserve">%; v absolutní finanční hodnotě jde o částku </w:t>
      </w:r>
      <w:r w:rsidR="000C30E6" w:rsidRPr="00666F88">
        <w:rPr>
          <w:b/>
          <w:bCs/>
        </w:rPr>
        <w:t>2.729.842,72</w:t>
      </w:r>
      <w:r w:rsidRPr="00666F88">
        <w:rPr>
          <w:b/>
          <w:bCs/>
        </w:rPr>
        <w:t xml:space="preserve"> Kč nižší, než byla rozpočtována</w:t>
      </w:r>
      <w:r w:rsidRPr="00666F88">
        <w:t xml:space="preserve">) </w:t>
      </w:r>
      <w:r w:rsidR="004B397C" w:rsidRPr="00666F88">
        <w:t xml:space="preserve">je plnění rozpočtu příjmů </w:t>
      </w:r>
      <w:r w:rsidR="00C643D1" w:rsidRPr="00666F88">
        <w:t xml:space="preserve">ovlivněno </w:t>
      </w:r>
      <w:r w:rsidR="004B397C" w:rsidRPr="00666F88">
        <w:t xml:space="preserve">zejména tím, </w:t>
      </w:r>
      <w:r w:rsidR="00F80652" w:rsidRPr="00666F88">
        <w:t xml:space="preserve">že úhrady nájemců za služby spojené s bydlením jsou prováděny </w:t>
      </w:r>
      <w:r w:rsidR="00C643D1" w:rsidRPr="00666F88">
        <w:t xml:space="preserve">po celý rozpočtový rok </w:t>
      </w:r>
      <w:r w:rsidR="00F80652" w:rsidRPr="00666F88">
        <w:t>na základě skutečné potřeby.</w:t>
      </w:r>
      <w:r w:rsidR="004B397C" w:rsidRPr="00666F88">
        <w:t xml:space="preserve"> </w:t>
      </w:r>
      <w:r w:rsidR="00D71B96">
        <w:t>Rovněž tak plnění příjmové str</w:t>
      </w:r>
      <w:r w:rsidR="000C30E6" w:rsidRPr="00666F88">
        <w:t>ánky rozpočtu ovliv</w:t>
      </w:r>
      <w:r w:rsidR="00C1721B" w:rsidRPr="00666F88">
        <w:t>ň</w:t>
      </w:r>
      <w:r w:rsidR="000C30E6" w:rsidRPr="00666F88">
        <w:t>ují příjmy za zpětný odběr</w:t>
      </w:r>
      <w:r w:rsidR="00C1721B" w:rsidRPr="00666F88">
        <w:t xml:space="preserve">, kdy vyúčtování </w:t>
      </w:r>
      <w:proofErr w:type="gramStart"/>
      <w:r w:rsidR="00C1721B" w:rsidRPr="00666F88">
        <w:t>IV.</w:t>
      </w:r>
      <w:r w:rsidR="00D71B96">
        <w:t>Q</w:t>
      </w:r>
      <w:r w:rsidR="00C1721B" w:rsidRPr="00666F88">
        <w:t>.2014</w:t>
      </w:r>
      <w:proofErr w:type="gramEnd"/>
      <w:r w:rsidR="00C1721B" w:rsidRPr="00666F88">
        <w:t xml:space="preserve"> se projeví až začátkem roku 2015. </w:t>
      </w:r>
      <w:r w:rsidR="004B397C" w:rsidRPr="00666F88">
        <w:t xml:space="preserve">Tato </w:t>
      </w:r>
      <w:r w:rsidR="00C643D1" w:rsidRPr="00666F88">
        <w:t>okolnost</w:t>
      </w:r>
      <w:r w:rsidR="004B397C" w:rsidRPr="00666F88">
        <w:t xml:space="preserve"> každoročně ovlivňuje plnění plánovaných příjmů kapitoly</w:t>
      </w:r>
      <w:r w:rsidR="00C643D1" w:rsidRPr="00666F88">
        <w:t xml:space="preserve"> a příjmy nelze přesně rozpočtovat</w:t>
      </w:r>
      <w:r w:rsidR="004B397C" w:rsidRPr="00666F88">
        <w:t>.</w:t>
      </w:r>
    </w:p>
    <w:p w:rsidR="004B397C" w:rsidRPr="00666F88" w:rsidRDefault="004B397C" w:rsidP="00205B60">
      <w:pPr>
        <w:ind w:firstLine="708"/>
        <w:jc w:val="both"/>
      </w:pPr>
    </w:p>
    <w:p w:rsidR="00247191" w:rsidRPr="00666F88" w:rsidRDefault="002C2C65" w:rsidP="00644B84">
      <w:pPr>
        <w:ind w:firstLine="708"/>
        <w:jc w:val="both"/>
      </w:pPr>
      <w:r w:rsidRPr="00666F88">
        <w:t>K </w:t>
      </w:r>
      <w:r w:rsidR="002E4AEB" w:rsidRPr="00666F88">
        <w:t>vyšším</w:t>
      </w:r>
      <w:r w:rsidRPr="00666F88">
        <w:t xml:space="preserve"> příjmům </w:t>
      </w:r>
      <w:r w:rsidR="00C1721B" w:rsidRPr="00666F88">
        <w:t xml:space="preserve">statutárního </w:t>
      </w:r>
      <w:r w:rsidRPr="00666F88">
        <w:t>města Prostějova byly ve sledovaném období rozpočtového roku 20</w:t>
      </w:r>
      <w:r w:rsidR="00A96972" w:rsidRPr="00666F88">
        <w:t>1</w:t>
      </w:r>
      <w:r w:rsidR="00C1721B" w:rsidRPr="00666F88">
        <w:t>4</w:t>
      </w:r>
      <w:r w:rsidRPr="00666F88">
        <w:t xml:space="preserve"> vykázány nižší výdaje. Čerpání výdajů rozpočtu města (</w:t>
      </w:r>
      <w:r w:rsidR="002E4AEB" w:rsidRPr="00666F88">
        <w:rPr>
          <w:b/>
          <w:bCs/>
        </w:rPr>
        <w:t xml:space="preserve">rozpočet: </w:t>
      </w:r>
      <w:r w:rsidR="0035420F" w:rsidRPr="00666F88">
        <w:rPr>
          <w:b/>
          <w:bCs/>
        </w:rPr>
        <w:t>874.488.774,57</w:t>
      </w:r>
      <w:r w:rsidR="002E4AEB" w:rsidRPr="00666F88">
        <w:rPr>
          <w:b/>
          <w:bCs/>
        </w:rPr>
        <w:t xml:space="preserve"> Kč; skutečnost: </w:t>
      </w:r>
      <w:r w:rsidR="0035420F" w:rsidRPr="00666F88">
        <w:rPr>
          <w:b/>
          <w:bCs/>
        </w:rPr>
        <w:t>764.223.225,43</w:t>
      </w:r>
      <w:r w:rsidR="002E4AEB" w:rsidRPr="00666F88">
        <w:rPr>
          <w:b/>
          <w:bCs/>
        </w:rPr>
        <w:t xml:space="preserve"> Kč</w:t>
      </w:r>
      <w:r w:rsidRPr="00666F88">
        <w:rPr>
          <w:b/>
          <w:bCs/>
        </w:rPr>
        <w:t xml:space="preserve">; </w:t>
      </w:r>
      <w:r w:rsidR="002C6639" w:rsidRPr="00666F88">
        <w:rPr>
          <w:b/>
          <w:bCs/>
        </w:rPr>
        <w:t>čerpání:</w:t>
      </w:r>
      <w:r w:rsidRPr="00666F88">
        <w:rPr>
          <w:b/>
          <w:bCs/>
        </w:rPr>
        <w:t xml:space="preserve"> </w:t>
      </w:r>
      <w:r w:rsidR="0035420F" w:rsidRPr="00666F88">
        <w:rPr>
          <w:b/>
          <w:bCs/>
        </w:rPr>
        <w:t>87,39</w:t>
      </w:r>
      <w:r w:rsidRPr="00666F88">
        <w:rPr>
          <w:b/>
          <w:bCs/>
        </w:rPr>
        <w:t>%</w:t>
      </w:r>
      <w:r w:rsidRPr="00666F88">
        <w:t>) ovlivnily svým objemem finančních prostředků zejména kapitoly</w:t>
      </w:r>
      <w:r w:rsidR="002C6639" w:rsidRPr="00666F88">
        <w:t xml:space="preserve"> 14 – </w:t>
      </w:r>
      <w:r w:rsidR="004B397C" w:rsidRPr="00666F88">
        <w:t>Kancelář tajemníka</w:t>
      </w:r>
      <w:r w:rsidR="002C6639" w:rsidRPr="00666F88">
        <w:t>,</w:t>
      </w:r>
      <w:r w:rsidRPr="00666F88">
        <w:t xml:space="preserve"> </w:t>
      </w:r>
      <w:r w:rsidR="00956E1B" w:rsidRPr="00666F88">
        <w:t xml:space="preserve">50 – Správa a nakládání s majetkem města, </w:t>
      </w:r>
      <w:r w:rsidRPr="00666F88">
        <w:t>60 –</w:t>
      </w:r>
      <w:r w:rsidR="002C6639" w:rsidRPr="00666F88">
        <w:t xml:space="preserve"> </w:t>
      </w:r>
      <w:r w:rsidRPr="00666F88">
        <w:t>Rozvoj a investice</w:t>
      </w:r>
      <w:r w:rsidR="0035420F" w:rsidRPr="00666F88">
        <w:t>,</w:t>
      </w:r>
      <w:r w:rsidRPr="00666F88">
        <w:t xml:space="preserve"> 70 </w:t>
      </w:r>
      <w:r w:rsidR="00956E1B" w:rsidRPr="00666F88">
        <w:t>–</w:t>
      </w:r>
      <w:r w:rsidRPr="00666F88">
        <w:t xml:space="preserve"> Finanční</w:t>
      </w:r>
      <w:r w:rsidR="0035420F" w:rsidRPr="00666F88">
        <w:t xml:space="preserve"> a 90 - Správa a údržba majetku města.</w:t>
      </w:r>
    </w:p>
    <w:p w:rsidR="00247191" w:rsidRPr="00666F88" w:rsidRDefault="00CB3596" w:rsidP="00644B84">
      <w:pPr>
        <w:ind w:firstLine="708"/>
        <w:jc w:val="both"/>
        <w:rPr>
          <w:b/>
          <w:bCs/>
          <w:u w:val="single"/>
        </w:rPr>
      </w:pPr>
      <w:r w:rsidRPr="00666F88">
        <w:tab/>
        <w:t xml:space="preserve">U kapitoly 14 – </w:t>
      </w:r>
      <w:r w:rsidR="00B54150" w:rsidRPr="00666F88">
        <w:t>Kancelář tajemníka</w:t>
      </w:r>
      <w:r w:rsidRPr="00666F88">
        <w:t xml:space="preserve"> </w:t>
      </w:r>
      <w:r w:rsidRPr="00666F88">
        <w:rPr>
          <w:b/>
          <w:bCs/>
        </w:rPr>
        <w:t>(</w:t>
      </w:r>
      <w:r w:rsidR="00C7212F" w:rsidRPr="00666F88">
        <w:rPr>
          <w:b/>
          <w:bCs/>
        </w:rPr>
        <w:t>čerpání na</w:t>
      </w:r>
      <w:r w:rsidR="00C7212F" w:rsidRPr="00666F88">
        <w:rPr>
          <w:bCs/>
        </w:rPr>
        <w:t xml:space="preserve"> </w:t>
      </w:r>
      <w:r w:rsidR="0035420F" w:rsidRPr="00666F88">
        <w:rPr>
          <w:b/>
          <w:bCs/>
        </w:rPr>
        <w:t>92,19</w:t>
      </w:r>
      <w:r w:rsidRPr="00666F88">
        <w:rPr>
          <w:b/>
          <w:bCs/>
        </w:rPr>
        <w:t xml:space="preserve">%; v absolutní finanční hodnotě jde o částku </w:t>
      </w:r>
      <w:r w:rsidR="0035420F" w:rsidRPr="00666F88">
        <w:rPr>
          <w:b/>
          <w:bCs/>
        </w:rPr>
        <w:t>11.675.958,10</w:t>
      </w:r>
      <w:r w:rsidRPr="00666F88">
        <w:rPr>
          <w:b/>
          <w:bCs/>
        </w:rPr>
        <w:t xml:space="preserve"> Kč nižší</w:t>
      </w:r>
      <w:r w:rsidR="00FF6911" w:rsidRPr="00666F88">
        <w:rPr>
          <w:b/>
          <w:bCs/>
        </w:rPr>
        <w:t>,</w:t>
      </w:r>
      <w:r w:rsidRPr="00666F88">
        <w:rPr>
          <w:b/>
          <w:bCs/>
        </w:rPr>
        <w:t xml:space="preserve"> než byla rozpočtována</w:t>
      </w:r>
      <w:r w:rsidRPr="00666F88">
        <w:t>)</w:t>
      </w:r>
      <w:r w:rsidR="00702C45" w:rsidRPr="00666F88">
        <w:t xml:space="preserve"> došlo k úsporám </w:t>
      </w:r>
      <w:r w:rsidR="008D4766" w:rsidRPr="00666F88">
        <w:t xml:space="preserve">zejména </w:t>
      </w:r>
      <w:r w:rsidR="00702C45" w:rsidRPr="00666F88">
        <w:t>v oblasti výdajů na platy</w:t>
      </w:r>
      <w:r w:rsidR="003F7961" w:rsidRPr="00666F88">
        <w:t xml:space="preserve"> a podobné a související výdaje</w:t>
      </w:r>
      <w:r w:rsidR="00702C45" w:rsidRPr="00666F88">
        <w:t xml:space="preserve"> (</w:t>
      </w:r>
      <w:r w:rsidR="003F7961" w:rsidRPr="00666F88">
        <w:t>seskupení položek 50 – 11,37</w:t>
      </w:r>
      <w:r w:rsidR="00702C45" w:rsidRPr="00666F88">
        <w:t xml:space="preserve"> mil.</w:t>
      </w:r>
      <w:r w:rsidR="00FF6911" w:rsidRPr="00666F88">
        <w:t xml:space="preserve"> </w:t>
      </w:r>
      <w:r w:rsidR="00702C45" w:rsidRPr="00666F88">
        <w:t xml:space="preserve">Kč). </w:t>
      </w:r>
      <w:r w:rsidR="00D94F6F" w:rsidRPr="00666F88">
        <w:t xml:space="preserve">Nižší procento čerpání rozpočtu na platy </w:t>
      </w:r>
      <w:r w:rsidR="003F7961" w:rsidRPr="00666F88">
        <w:t>a podobné související výdaje</w:t>
      </w:r>
      <w:r w:rsidR="00D94F6F" w:rsidRPr="00666F88">
        <w:t xml:space="preserve"> je způsobeno poskytnutými dotacemi a finančními prostředky na projekty. </w:t>
      </w:r>
      <w:r w:rsidR="00F3451E" w:rsidRPr="00666F88">
        <w:rPr>
          <w:b/>
          <w:bCs/>
          <w:u w:val="single"/>
        </w:rPr>
        <w:t xml:space="preserve">Výdaje kapitoly svým finančním objemem (rozpočet = </w:t>
      </w:r>
      <w:r w:rsidR="003F7961" w:rsidRPr="00666F88">
        <w:rPr>
          <w:b/>
          <w:bCs/>
          <w:u w:val="single"/>
        </w:rPr>
        <w:t>149.470,57</w:t>
      </w:r>
      <w:r w:rsidR="00F3451E" w:rsidRPr="00666F88">
        <w:rPr>
          <w:b/>
          <w:bCs/>
          <w:u w:val="single"/>
        </w:rPr>
        <w:t xml:space="preserve"> tis. Kč; skutečnost = </w:t>
      </w:r>
      <w:r w:rsidR="003F7961" w:rsidRPr="00666F88">
        <w:rPr>
          <w:b/>
          <w:bCs/>
          <w:u w:val="single"/>
        </w:rPr>
        <w:t>137.794,62</w:t>
      </w:r>
      <w:r w:rsidR="00F3451E" w:rsidRPr="00666F88">
        <w:rPr>
          <w:b/>
          <w:bCs/>
          <w:u w:val="single"/>
        </w:rPr>
        <w:t xml:space="preserve"> tis. Kč) rozhodnou měrou ovlivnily plnění celkových výdajů rozpočtu města v období rozpočtového roku 201</w:t>
      </w:r>
      <w:r w:rsidR="003F7961" w:rsidRPr="00666F88">
        <w:rPr>
          <w:b/>
          <w:bCs/>
          <w:u w:val="single"/>
        </w:rPr>
        <w:t>4</w:t>
      </w:r>
      <w:r w:rsidR="00F3451E" w:rsidRPr="00666F88">
        <w:rPr>
          <w:b/>
          <w:bCs/>
          <w:u w:val="single"/>
        </w:rPr>
        <w:t>.</w:t>
      </w:r>
    </w:p>
    <w:p w:rsidR="00247191" w:rsidRPr="00666F88" w:rsidRDefault="00C7212F" w:rsidP="009C21AA">
      <w:pPr>
        <w:ind w:firstLine="708"/>
        <w:jc w:val="both"/>
      </w:pPr>
      <w:r w:rsidRPr="00666F88">
        <w:t>Kapitola 50 – Správa a nakládání s majetkem města (</w:t>
      </w:r>
      <w:r w:rsidRPr="00666F88">
        <w:rPr>
          <w:b/>
        </w:rPr>
        <w:t xml:space="preserve">čerpání na </w:t>
      </w:r>
      <w:r w:rsidR="00AD4BC6" w:rsidRPr="00666F88">
        <w:rPr>
          <w:b/>
          <w:bCs/>
        </w:rPr>
        <w:t>78,18</w:t>
      </w:r>
      <w:r w:rsidRPr="00666F88">
        <w:rPr>
          <w:b/>
          <w:bCs/>
        </w:rPr>
        <w:t xml:space="preserve">%; v absolutní finanční hodnotě jde o částku </w:t>
      </w:r>
      <w:r w:rsidR="00AD4BC6" w:rsidRPr="00666F88">
        <w:rPr>
          <w:b/>
          <w:bCs/>
        </w:rPr>
        <w:t>6.698.328,56</w:t>
      </w:r>
      <w:r w:rsidRPr="00666F88">
        <w:rPr>
          <w:b/>
          <w:bCs/>
        </w:rPr>
        <w:t xml:space="preserve"> Kč nižší, než byla rozpočtována</w:t>
      </w:r>
      <w:r w:rsidRPr="00666F88">
        <w:t xml:space="preserve">). </w:t>
      </w:r>
      <w:r w:rsidR="00AD4BC6" w:rsidRPr="00666F88">
        <w:rPr>
          <w:szCs w:val="16"/>
        </w:rPr>
        <w:t xml:space="preserve">Většina položek výdajové části rozpočtu kapitoly představuje plnění mezi 85 – 100%. Skutečnost je ovlivněna především nevyčerpáním prostředků, které byly schváleny na výkupy pozemků, jejichž řešení je časově náročné a dosud nebylo ukončeno a nedočerpáním prostředků u položek, kde nelze čerpání předem odhadnout, neboť je odvislé na aktuální potřebě služby, opravy či spotřeby energií. </w:t>
      </w:r>
      <w:r w:rsidR="00B371AE" w:rsidRPr="00666F88">
        <w:t xml:space="preserve">Nedočerpané schválené finanční prostředky </w:t>
      </w:r>
      <w:r w:rsidR="00AD4BC6" w:rsidRPr="00666F88">
        <w:t>týkající se</w:t>
      </w:r>
      <w:r w:rsidR="00B371AE" w:rsidRPr="00666F88">
        <w:t xml:space="preserve"> výkupů pozemků, jejichž řešení nebylo v roce 201</w:t>
      </w:r>
      <w:r w:rsidR="00AD4BC6" w:rsidRPr="00666F88">
        <w:t>4</w:t>
      </w:r>
      <w:r w:rsidR="009C21AA" w:rsidRPr="00666F88">
        <w:t xml:space="preserve"> ukončeno,</w:t>
      </w:r>
      <w:r w:rsidR="00B371AE" w:rsidRPr="00666F88">
        <w:t xml:space="preserve"> </w:t>
      </w:r>
      <w:r w:rsidR="009C21AA" w:rsidRPr="00666F88">
        <w:t>požaduje kapitola zařadit do rozpočtu roku 2015 po schválení závěrečného účtu v orgánech města</w:t>
      </w:r>
      <w:r w:rsidR="00AD4BC6" w:rsidRPr="00666F88">
        <w:t>. Jedná se o celkovou částku</w:t>
      </w:r>
      <w:r w:rsidR="009C21AA" w:rsidRPr="00666F88">
        <w:t xml:space="preserve"> ve výši </w:t>
      </w:r>
      <w:r w:rsidR="009C21AA" w:rsidRPr="00666F88">
        <w:rPr>
          <w:bCs/>
          <w:color w:val="000000"/>
        </w:rPr>
        <w:t>5.</w:t>
      </w:r>
      <w:r w:rsidR="00AD4BC6" w:rsidRPr="005B65C9">
        <w:rPr>
          <w:bCs/>
          <w:color w:val="000000"/>
        </w:rPr>
        <w:t>499</w:t>
      </w:r>
      <w:r w:rsidR="009C21AA" w:rsidRPr="00666F88">
        <w:rPr>
          <w:bCs/>
          <w:color w:val="000000"/>
        </w:rPr>
        <w:t>.</w:t>
      </w:r>
      <w:r w:rsidR="00AD4BC6" w:rsidRPr="005B65C9">
        <w:rPr>
          <w:bCs/>
          <w:color w:val="000000"/>
        </w:rPr>
        <w:t>920</w:t>
      </w:r>
      <w:r w:rsidR="00AD4BC6" w:rsidRPr="00666F88">
        <w:rPr>
          <w:bCs/>
          <w:color w:val="000000"/>
        </w:rPr>
        <w:t xml:space="preserve"> Kč</w:t>
      </w:r>
      <w:r w:rsidR="00B371AE" w:rsidRPr="00666F88">
        <w:t xml:space="preserve"> (</w:t>
      </w:r>
      <w:r w:rsidR="00AE79F8" w:rsidRPr="00666F88">
        <w:t xml:space="preserve">pozemek </w:t>
      </w:r>
      <w:proofErr w:type="spellStart"/>
      <w:r w:rsidR="00AE79F8" w:rsidRPr="00666F88">
        <w:t>Galva</w:t>
      </w:r>
      <w:proofErr w:type="spellEnd"/>
      <w:r w:rsidR="00AE79F8" w:rsidRPr="00666F88">
        <w:t xml:space="preserve"> s.r.o.; pozemky pro CS </w:t>
      </w:r>
      <w:proofErr w:type="spellStart"/>
      <w:r w:rsidR="00AE79F8" w:rsidRPr="00666F88">
        <w:t>Žešov</w:t>
      </w:r>
      <w:proofErr w:type="spellEnd"/>
      <w:r w:rsidR="009C21AA" w:rsidRPr="00666F88">
        <w:t xml:space="preserve">; </w:t>
      </w:r>
      <w:r w:rsidR="00AE79F8" w:rsidRPr="00666F88">
        <w:t>další pozemky z roku 201</w:t>
      </w:r>
      <w:r w:rsidR="009C21AA" w:rsidRPr="00666F88">
        <w:t>4)</w:t>
      </w:r>
      <w:r w:rsidR="00AE79F8" w:rsidRPr="00666F88">
        <w:t xml:space="preserve">. </w:t>
      </w:r>
      <w:r w:rsidR="00247191" w:rsidRPr="00666F88">
        <w:rPr>
          <w:b/>
          <w:bCs/>
          <w:u w:val="single"/>
        </w:rPr>
        <w:t xml:space="preserve">Výdaje kapitoly svým finančním objemem (rozpočet = </w:t>
      </w:r>
      <w:r w:rsidR="009C21AA" w:rsidRPr="00666F88">
        <w:rPr>
          <w:b/>
          <w:bCs/>
          <w:u w:val="single"/>
        </w:rPr>
        <w:t>30.699,57</w:t>
      </w:r>
      <w:r w:rsidR="00247191" w:rsidRPr="00666F88">
        <w:rPr>
          <w:b/>
          <w:bCs/>
          <w:u w:val="single"/>
        </w:rPr>
        <w:t xml:space="preserve"> tis. Kč; skutečnost = </w:t>
      </w:r>
      <w:r w:rsidR="009C21AA" w:rsidRPr="00666F88">
        <w:rPr>
          <w:b/>
          <w:bCs/>
          <w:u w:val="single"/>
        </w:rPr>
        <w:t>24.001,24</w:t>
      </w:r>
      <w:r w:rsidR="00247191" w:rsidRPr="00666F88">
        <w:rPr>
          <w:b/>
          <w:bCs/>
          <w:u w:val="single"/>
        </w:rPr>
        <w:t xml:space="preserve"> tis. Kč) rozhodnou měrou ovlivnily plnění celkových výdajů rozpočtu města v období rozpočtového roku 201</w:t>
      </w:r>
      <w:r w:rsidR="009C21AA" w:rsidRPr="00666F88">
        <w:rPr>
          <w:b/>
          <w:bCs/>
          <w:u w:val="single"/>
        </w:rPr>
        <w:t>4</w:t>
      </w:r>
      <w:r w:rsidR="00247191" w:rsidRPr="00666F88">
        <w:rPr>
          <w:b/>
          <w:bCs/>
          <w:u w:val="single"/>
        </w:rPr>
        <w:t>.</w:t>
      </w:r>
    </w:p>
    <w:p w:rsidR="00DE63ED" w:rsidRPr="00666F88" w:rsidRDefault="00BC0C48" w:rsidP="00DE13B3">
      <w:pPr>
        <w:ind w:firstLine="708"/>
        <w:jc w:val="both"/>
      </w:pPr>
      <w:r w:rsidRPr="00666F88">
        <w:t>Kapitola</w:t>
      </w:r>
      <w:r w:rsidR="002C2C65" w:rsidRPr="00666F88">
        <w:t xml:space="preserve"> 60</w:t>
      </w:r>
      <w:r w:rsidR="009177A3" w:rsidRPr="00666F88">
        <w:t xml:space="preserve"> – Rozvoj a investice</w:t>
      </w:r>
      <w:r w:rsidR="002C2C65" w:rsidRPr="00666F88">
        <w:t xml:space="preserve"> (</w:t>
      </w:r>
      <w:r w:rsidR="001D7A7A" w:rsidRPr="00666F88">
        <w:rPr>
          <w:b/>
        </w:rPr>
        <w:t xml:space="preserve">čerpání na </w:t>
      </w:r>
      <w:r w:rsidR="009C21AA" w:rsidRPr="00666F88">
        <w:rPr>
          <w:b/>
          <w:bCs/>
        </w:rPr>
        <w:t>73,43</w:t>
      </w:r>
      <w:r w:rsidR="002C2C65" w:rsidRPr="00666F88">
        <w:rPr>
          <w:b/>
          <w:bCs/>
        </w:rPr>
        <w:t xml:space="preserve">%; v absolutní finanční hodnotě jde o částku </w:t>
      </w:r>
      <w:r w:rsidR="00DE63ED" w:rsidRPr="00666F88">
        <w:rPr>
          <w:b/>
          <w:bCs/>
        </w:rPr>
        <w:t>63.755.238,23</w:t>
      </w:r>
      <w:r w:rsidR="002C2C65" w:rsidRPr="00666F88">
        <w:rPr>
          <w:b/>
          <w:bCs/>
        </w:rPr>
        <w:t xml:space="preserve"> Kč nižší</w:t>
      </w:r>
      <w:r w:rsidR="00F3451E" w:rsidRPr="00666F88">
        <w:rPr>
          <w:b/>
          <w:bCs/>
        </w:rPr>
        <w:t>,</w:t>
      </w:r>
      <w:r w:rsidR="002C2C65" w:rsidRPr="00666F88">
        <w:rPr>
          <w:b/>
          <w:bCs/>
        </w:rPr>
        <w:t xml:space="preserve"> než byla rozpočtována</w:t>
      </w:r>
      <w:r w:rsidR="002C2C65" w:rsidRPr="00666F88">
        <w:t>)</w:t>
      </w:r>
      <w:r w:rsidRPr="00666F88">
        <w:t>.</w:t>
      </w:r>
      <w:r w:rsidRPr="00666F88">
        <w:rPr>
          <w:b/>
          <w:bCs/>
        </w:rPr>
        <w:t xml:space="preserve"> </w:t>
      </w:r>
      <w:r w:rsidR="00DE63ED" w:rsidRPr="00666F88">
        <w:t>Zásadní rozdíl mezi upraveným rozpočtem a skutečností je dán dvěma základními vlivy:</w:t>
      </w:r>
    </w:p>
    <w:p w:rsidR="00DE63ED" w:rsidRPr="00666F88" w:rsidRDefault="00DE63ED" w:rsidP="00DE63ED">
      <w:pPr>
        <w:numPr>
          <w:ilvl w:val="0"/>
          <w:numId w:val="26"/>
        </w:numPr>
        <w:autoSpaceDE/>
        <w:autoSpaceDN/>
        <w:ind w:left="284" w:hanging="284"/>
        <w:jc w:val="both"/>
      </w:pPr>
      <w:r w:rsidRPr="00666F88">
        <w:t>pro uzavření smlouvy v předmětném roce je nutné schválení finančních prostředků v celkovém objemu částky vzešlé z výběrového řízení, přestože je v některých případech zřejmé, že investiční akce bude pokračovat v roce následujícím a finanční prostředky budou vráceny zpět do rozpočtu před koncem účetního období nebo nedojde k jejich skutečnému plnění,</w:t>
      </w:r>
    </w:p>
    <w:p w:rsidR="00DE63ED" w:rsidRPr="00666F88" w:rsidRDefault="00DE63ED" w:rsidP="00DE63ED">
      <w:pPr>
        <w:numPr>
          <w:ilvl w:val="0"/>
          <w:numId w:val="26"/>
        </w:numPr>
        <w:autoSpaceDE/>
        <w:autoSpaceDN/>
        <w:ind w:left="284" w:hanging="284"/>
        <w:jc w:val="both"/>
      </w:pPr>
      <w:r w:rsidRPr="00666F88">
        <w:t>druhým důvodem je obvykle požadavek poskytovatelů dotací, kteří chtějí mít garantováno finanční krytí předmětné investiční akce již schválenými finančními prostředky. Výsledné čerpání je pak sníženo o dotaci přidělenou v závěru roku, anebo dochází k vrácení finančních prostředků do fondu rezerv a rozvoje rozhodnutím Zastupitelstva města Prostějova.</w:t>
      </w:r>
    </w:p>
    <w:p w:rsidR="00BC0C48" w:rsidRPr="00666F88" w:rsidRDefault="00DE63ED" w:rsidP="00DE63ED">
      <w:pPr>
        <w:jc w:val="both"/>
        <w:rPr>
          <w:b/>
          <w:bCs/>
        </w:rPr>
      </w:pPr>
      <w:r w:rsidRPr="00666F88">
        <w:t>Část přebytků vzniká tak, že čerpání na velkém objemu jednotlivých akcí nedosahuje 100% a vlivem značného množství položek je objem nedočerpaných finančních prostředků poměrně vysoký.</w:t>
      </w:r>
      <w:r w:rsidRPr="00666F88">
        <w:rPr>
          <w:b/>
          <w:bCs/>
        </w:rPr>
        <w:t xml:space="preserve"> </w:t>
      </w:r>
      <w:r w:rsidR="00CF2220" w:rsidRPr="00666F88">
        <w:rPr>
          <w:b/>
          <w:bCs/>
          <w:u w:val="single"/>
        </w:rPr>
        <w:t>Výdaje</w:t>
      </w:r>
      <w:r w:rsidR="002C2C65" w:rsidRPr="00666F88">
        <w:rPr>
          <w:b/>
          <w:bCs/>
          <w:u w:val="single"/>
        </w:rPr>
        <w:t xml:space="preserve"> kapitoly svým finančním objemem (rozpočet = </w:t>
      </w:r>
      <w:r w:rsidRPr="00666F88">
        <w:rPr>
          <w:b/>
          <w:bCs/>
          <w:u w:val="single"/>
        </w:rPr>
        <w:t>239.936,68</w:t>
      </w:r>
      <w:r w:rsidR="002C2C65" w:rsidRPr="00666F88">
        <w:rPr>
          <w:b/>
          <w:bCs/>
          <w:u w:val="single"/>
        </w:rPr>
        <w:t xml:space="preserve"> tis. Kč; skutečnost = </w:t>
      </w:r>
      <w:r w:rsidRPr="00666F88">
        <w:rPr>
          <w:b/>
          <w:bCs/>
          <w:u w:val="single"/>
        </w:rPr>
        <w:t>176.181,44</w:t>
      </w:r>
      <w:r w:rsidR="002C2C65" w:rsidRPr="00666F88">
        <w:rPr>
          <w:b/>
          <w:bCs/>
          <w:u w:val="single"/>
        </w:rPr>
        <w:t xml:space="preserve"> tis. Kč) rozhodnou měrou ovlivnily plnění celkových výdajů rozpočtu města v období rozpočtového roku 20</w:t>
      </w:r>
      <w:r w:rsidR="00F3451E" w:rsidRPr="00666F88">
        <w:rPr>
          <w:b/>
          <w:bCs/>
          <w:u w:val="single"/>
        </w:rPr>
        <w:t>1</w:t>
      </w:r>
      <w:r w:rsidR="00385443">
        <w:rPr>
          <w:b/>
          <w:bCs/>
          <w:u w:val="single"/>
        </w:rPr>
        <w:t>4</w:t>
      </w:r>
      <w:r w:rsidR="002C2C65" w:rsidRPr="00666F88">
        <w:rPr>
          <w:b/>
          <w:bCs/>
          <w:u w:val="single"/>
        </w:rPr>
        <w:t>.</w:t>
      </w:r>
    </w:p>
    <w:p w:rsidR="00587E37" w:rsidRPr="00666F88" w:rsidRDefault="002C2C65" w:rsidP="00644B84">
      <w:pPr>
        <w:autoSpaceDE/>
        <w:autoSpaceDN/>
        <w:ind w:firstLine="720"/>
        <w:jc w:val="both"/>
        <w:rPr>
          <w:b/>
          <w:bCs/>
          <w:u w:val="single"/>
        </w:rPr>
      </w:pPr>
      <w:r w:rsidRPr="00666F88">
        <w:t xml:space="preserve">Čerpání výdajů kapitoly 70 </w:t>
      </w:r>
      <w:r w:rsidR="00FE6AF8" w:rsidRPr="00666F88">
        <w:t xml:space="preserve">– Finanční </w:t>
      </w:r>
      <w:r w:rsidRPr="00666F88">
        <w:t>(</w:t>
      </w:r>
      <w:r w:rsidR="001D7A7A" w:rsidRPr="00666F88">
        <w:rPr>
          <w:b/>
        </w:rPr>
        <w:t xml:space="preserve">čerpání na </w:t>
      </w:r>
      <w:r w:rsidR="00966FCD" w:rsidRPr="00666F88">
        <w:rPr>
          <w:b/>
          <w:bCs/>
        </w:rPr>
        <w:t>82,31</w:t>
      </w:r>
      <w:r w:rsidRPr="00666F88">
        <w:rPr>
          <w:b/>
          <w:bCs/>
        </w:rPr>
        <w:t xml:space="preserve">%; v absolutní finanční hodnotě jde o částku </w:t>
      </w:r>
      <w:r w:rsidR="006637A1" w:rsidRPr="00666F88">
        <w:rPr>
          <w:b/>
          <w:bCs/>
        </w:rPr>
        <w:t>11.240.872,27</w:t>
      </w:r>
      <w:r w:rsidRPr="00666F88">
        <w:rPr>
          <w:b/>
          <w:bCs/>
        </w:rPr>
        <w:t xml:space="preserve"> Kč </w:t>
      </w:r>
      <w:r w:rsidR="002901E7" w:rsidRPr="00666F88">
        <w:rPr>
          <w:b/>
          <w:bCs/>
        </w:rPr>
        <w:t>nižší</w:t>
      </w:r>
      <w:r w:rsidR="00587E37" w:rsidRPr="00666F88">
        <w:rPr>
          <w:b/>
          <w:bCs/>
        </w:rPr>
        <w:t>,</w:t>
      </w:r>
      <w:r w:rsidRPr="00666F88">
        <w:rPr>
          <w:b/>
          <w:bCs/>
        </w:rPr>
        <w:t xml:space="preserve"> než byla rozpočtována</w:t>
      </w:r>
      <w:r w:rsidRPr="00666F88">
        <w:t>)</w:t>
      </w:r>
      <w:r w:rsidRPr="00666F88">
        <w:rPr>
          <w:b/>
          <w:bCs/>
        </w:rPr>
        <w:t xml:space="preserve"> </w:t>
      </w:r>
      <w:r w:rsidRPr="00666F88">
        <w:t>v roce 20</w:t>
      </w:r>
      <w:r w:rsidR="00F3451E" w:rsidRPr="00666F88">
        <w:t>1</w:t>
      </w:r>
      <w:r w:rsidR="006637A1" w:rsidRPr="00666F88">
        <w:t>4</w:t>
      </w:r>
      <w:r w:rsidRPr="00666F88">
        <w:t xml:space="preserve"> ovlivnila </w:t>
      </w:r>
      <w:r w:rsidR="00587E37" w:rsidRPr="00666F88">
        <w:t xml:space="preserve">rozhodnou měrou DPPO za obce, která byla uhrazena v částce o </w:t>
      </w:r>
      <w:r w:rsidR="006637A1" w:rsidRPr="00666F88">
        <w:t>2,85</w:t>
      </w:r>
      <w:r w:rsidR="00587E37" w:rsidRPr="00666F88">
        <w:t xml:space="preserve"> mil. Kč </w:t>
      </w:r>
      <w:r w:rsidR="005A6C60" w:rsidRPr="00666F88">
        <w:t>nižší,</w:t>
      </w:r>
      <w:r w:rsidR="00587E37" w:rsidRPr="00666F88">
        <w:t xml:space="preserve"> než byl stanoven rozpočet. </w:t>
      </w:r>
      <w:r w:rsidR="001941D8" w:rsidRPr="00666F88">
        <w:t>T</w:t>
      </w:r>
      <w:r w:rsidR="00587E37" w:rsidRPr="00666F88">
        <w:t xml:space="preserve">ato daň </w:t>
      </w:r>
      <w:r w:rsidR="001941D8" w:rsidRPr="00666F88">
        <w:t xml:space="preserve">nemá </w:t>
      </w:r>
      <w:r w:rsidR="00587E37" w:rsidRPr="00666F88">
        <w:t xml:space="preserve">na rozpočet města </w:t>
      </w:r>
      <w:r w:rsidR="005A6C60" w:rsidRPr="00666F88">
        <w:t xml:space="preserve">přímý </w:t>
      </w:r>
      <w:r w:rsidR="00587E37" w:rsidRPr="00666F88">
        <w:t xml:space="preserve">finanční vliv, neboť město je jak plátcem, tak i příjemcem této daně. Stejné částky jsou uvedeny v příjmech i </w:t>
      </w:r>
      <w:r w:rsidR="006637A1" w:rsidRPr="00666F88">
        <w:t xml:space="preserve">ve </w:t>
      </w:r>
      <w:r w:rsidR="00587E37" w:rsidRPr="00666F88">
        <w:t xml:space="preserve">výdajích kapitoly. </w:t>
      </w:r>
      <w:r w:rsidR="006D6421" w:rsidRPr="00666F88">
        <w:t>Obdobným</w:t>
      </w:r>
      <w:r w:rsidR="00587E37" w:rsidRPr="00666F88">
        <w:t xml:space="preserve"> způsobem jsou tedy ovlivněny i příjmy kapitoly. Na výdajích kapitoly se rovněž projevila </w:t>
      </w:r>
      <w:r w:rsidRPr="00666F88">
        <w:t>specifika rezerv, které nejsou skutečnými výdaji kapitoly 70, ale rozpouštějí se, na základě schválených rozpočtových opatření</w:t>
      </w:r>
      <w:r w:rsidR="005A6C60" w:rsidRPr="00666F88">
        <w:t>,</w:t>
      </w:r>
      <w:r w:rsidRPr="00666F88">
        <w:t xml:space="preserve"> v kapitolách, kam byly finanční prostředky směrovány. V kapitole 70 tak zůstaly pouze </w:t>
      </w:r>
      <w:r w:rsidR="001941D8" w:rsidRPr="00666F88">
        <w:t>nevyčerpané</w:t>
      </w:r>
      <w:r w:rsidRPr="00666F88">
        <w:t xml:space="preserve"> finanční prostředky rezerv,</w:t>
      </w:r>
      <w:r w:rsidR="006D6421" w:rsidRPr="00666F88">
        <w:t xml:space="preserve"> a to</w:t>
      </w:r>
      <w:r w:rsidRPr="00666F88">
        <w:t xml:space="preserve"> rezervy </w:t>
      </w:r>
      <w:r w:rsidR="006637A1" w:rsidRPr="00666F88">
        <w:t>RMP pro rozpočtová opatření a</w:t>
      </w:r>
      <w:r w:rsidR="006D6421" w:rsidRPr="00666F88">
        <w:t xml:space="preserve"> rezervy </w:t>
      </w:r>
      <w:r w:rsidRPr="00666F88">
        <w:t>pro</w:t>
      </w:r>
      <w:r w:rsidR="006D6421" w:rsidRPr="00666F88">
        <w:t xml:space="preserve"> škodní a</w:t>
      </w:r>
      <w:r w:rsidRPr="00666F88">
        <w:t xml:space="preserve"> havarijní situace</w:t>
      </w:r>
      <w:r w:rsidR="00587E37" w:rsidRPr="00666F88">
        <w:t xml:space="preserve"> </w:t>
      </w:r>
      <w:r w:rsidRPr="00666F88">
        <w:t xml:space="preserve">(zůstatek rezerv celkem </w:t>
      </w:r>
      <w:r w:rsidR="006637A1" w:rsidRPr="00666F88">
        <w:t>1,65</w:t>
      </w:r>
      <w:r w:rsidRPr="00666F88">
        <w:t xml:space="preserve"> mil. Kč). </w:t>
      </w:r>
      <w:r w:rsidR="005A6C60" w:rsidRPr="00666F88">
        <w:t xml:space="preserve">Nevyčerpány zůstaly rovněž </w:t>
      </w:r>
      <w:r w:rsidR="006D6421" w:rsidRPr="00666F88">
        <w:t xml:space="preserve">prostředky limitu pro „ostatní investice“ ve výši </w:t>
      </w:r>
      <w:r w:rsidR="006637A1" w:rsidRPr="00666F88">
        <w:t>8,09</w:t>
      </w:r>
      <w:r w:rsidR="006D6421" w:rsidRPr="00666F88">
        <w:t xml:space="preserve"> mil. Kč.</w:t>
      </w:r>
      <w:r w:rsidR="001D7A7A" w:rsidRPr="00666F88">
        <w:t xml:space="preserve"> </w:t>
      </w:r>
      <w:r w:rsidR="006637A1" w:rsidRPr="00666F88">
        <w:t xml:space="preserve">V kapitole byly naopak čerpány prostředky, které nejsou rozpočtovány ve výši 1,99 mil. Kč. Jde o </w:t>
      </w:r>
      <w:r w:rsidR="00DE13B3" w:rsidRPr="00666F88">
        <w:t xml:space="preserve">zůstatek finančních prostředků na depozitním účtu po vyúčtování mezd 2014; bude převedeno na příjmový účet v roce 2015. </w:t>
      </w:r>
      <w:r w:rsidR="001D7A7A" w:rsidRPr="00666F88">
        <w:rPr>
          <w:b/>
          <w:bCs/>
          <w:u w:val="single"/>
        </w:rPr>
        <w:t xml:space="preserve">Výdaje kapitoly svým finančním objemem (rozpočet = </w:t>
      </w:r>
      <w:r w:rsidR="00DE13B3" w:rsidRPr="00666F88">
        <w:rPr>
          <w:b/>
          <w:bCs/>
          <w:u w:val="single"/>
        </w:rPr>
        <w:t>63.534,3</w:t>
      </w:r>
      <w:r w:rsidR="001D7A7A" w:rsidRPr="00666F88">
        <w:rPr>
          <w:b/>
          <w:bCs/>
          <w:u w:val="single"/>
        </w:rPr>
        <w:t xml:space="preserve"> tis. Kč; skutečnost = </w:t>
      </w:r>
      <w:r w:rsidR="00DE13B3" w:rsidRPr="00666F88">
        <w:rPr>
          <w:b/>
          <w:bCs/>
          <w:u w:val="single"/>
        </w:rPr>
        <w:t>52.293,42</w:t>
      </w:r>
      <w:r w:rsidR="001D7A7A" w:rsidRPr="00666F88">
        <w:rPr>
          <w:b/>
          <w:bCs/>
          <w:u w:val="single"/>
        </w:rPr>
        <w:t xml:space="preserve"> tis. Kč) rozhodnou měrou ovlivnily plnění celkových výdajů rozpočtu města v období rozpočtového roku 201</w:t>
      </w:r>
      <w:r w:rsidR="00DE13B3" w:rsidRPr="00666F88">
        <w:rPr>
          <w:b/>
          <w:bCs/>
          <w:u w:val="single"/>
        </w:rPr>
        <w:t>4</w:t>
      </w:r>
      <w:r w:rsidR="001D7A7A" w:rsidRPr="00666F88">
        <w:rPr>
          <w:b/>
          <w:bCs/>
          <w:u w:val="single"/>
        </w:rPr>
        <w:t>.</w:t>
      </w:r>
    </w:p>
    <w:p w:rsidR="00DE13B3" w:rsidRPr="00666F88" w:rsidRDefault="00DE13B3" w:rsidP="00644B84">
      <w:pPr>
        <w:autoSpaceDE/>
        <w:autoSpaceDN/>
        <w:ind w:firstLine="720"/>
        <w:jc w:val="both"/>
      </w:pPr>
      <w:r w:rsidRPr="00666F88">
        <w:t>Kapitola 90 - Správa a údržba majetku města (</w:t>
      </w:r>
      <w:r w:rsidRPr="00666F88">
        <w:rPr>
          <w:b/>
        </w:rPr>
        <w:t xml:space="preserve">čerpání na </w:t>
      </w:r>
      <w:r w:rsidRPr="00666F88">
        <w:rPr>
          <w:b/>
          <w:bCs/>
        </w:rPr>
        <w:t>96,86%; v absolutní finanční hodnotě jde o částku 5.854.402,68 Kč nižší, než byla rozpočtována</w:t>
      </w:r>
      <w:r w:rsidRPr="00666F88">
        <w:t xml:space="preserve">). Většina položek vykazuje rovnoměrné čerpání mezi 90 – 100%. Nižší </w:t>
      </w:r>
      <w:r w:rsidRPr="00666F88">
        <w:lastRenderedPageBreak/>
        <w:t>čerpání představují položky, které ovlivňuje aktuální potřeba provede</w:t>
      </w:r>
      <w:r w:rsidR="00C522DD" w:rsidRPr="00666F88">
        <w:t>ní služby nebo spotřeba energií</w:t>
      </w:r>
      <w:r w:rsidRPr="00666F88">
        <w:t>. Čerpání jednotlivých položek bylo v souladu s uzavřenými smlouvami se společnostmi Domovní správa Prostějov, s.r.</w:t>
      </w:r>
      <w:proofErr w:type="gramStart"/>
      <w:r w:rsidRPr="00666F88">
        <w:t>o. a .A.</w:t>
      </w:r>
      <w:proofErr w:type="gramEnd"/>
      <w:r w:rsidRPr="00666F88">
        <w:t>S.A. TS Prostějov, s.r.o.</w:t>
      </w:r>
      <w:r w:rsidR="00C522DD" w:rsidRPr="00666F88">
        <w:t xml:space="preserve"> a vyjadřuje skutečnost potřeb roku 2014.</w:t>
      </w:r>
    </w:p>
    <w:p w:rsidR="00E90CE1" w:rsidRPr="00666F88" w:rsidRDefault="00E90CE1" w:rsidP="00205B60">
      <w:pPr>
        <w:ind w:firstLine="708"/>
        <w:jc w:val="both"/>
      </w:pPr>
    </w:p>
    <w:p w:rsidR="002C2C65" w:rsidRPr="00666F88" w:rsidRDefault="002C2C65" w:rsidP="00205B60">
      <w:pPr>
        <w:ind w:firstLine="708"/>
        <w:jc w:val="both"/>
      </w:pPr>
      <w:r w:rsidRPr="00666F88">
        <w:t>Upřesňující komentář vlivů na plnění a čerpání rozpočtu města v rozpočtovém roce 20</w:t>
      </w:r>
      <w:r w:rsidR="00587E37" w:rsidRPr="00666F88">
        <w:t>1</w:t>
      </w:r>
      <w:r w:rsidR="00C522DD" w:rsidRPr="00666F88">
        <w:t>4</w:t>
      </w:r>
      <w:r w:rsidRPr="00666F88">
        <w:t xml:space="preserve"> je uveden v popisu jednotlivých kapitol v dalších částech materiálu. </w:t>
      </w:r>
    </w:p>
    <w:p w:rsidR="002C2C65" w:rsidRPr="00666F88" w:rsidRDefault="002C2C65" w:rsidP="00205B60">
      <w:pPr>
        <w:ind w:firstLine="708"/>
        <w:jc w:val="both"/>
      </w:pPr>
    </w:p>
    <w:p w:rsidR="002C2C65" w:rsidRPr="00666F88" w:rsidRDefault="002C2C65" w:rsidP="00205B60">
      <w:pPr>
        <w:ind w:firstLine="708"/>
        <w:jc w:val="both"/>
      </w:pPr>
      <w:r w:rsidRPr="00666F88">
        <w:t xml:space="preserve">Financující položky vykázané skutečnosti v hodnotě </w:t>
      </w:r>
      <w:r w:rsidR="00644B84" w:rsidRPr="00666F88">
        <w:rPr>
          <w:b/>
          <w:bCs/>
        </w:rPr>
        <w:t>mínus</w:t>
      </w:r>
      <w:r w:rsidR="00DB2C5F" w:rsidRPr="00666F88">
        <w:rPr>
          <w:b/>
          <w:bCs/>
        </w:rPr>
        <w:t xml:space="preserve"> </w:t>
      </w:r>
      <w:r w:rsidR="00C522DD" w:rsidRPr="00666F88">
        <w:rPr>
          <w:b/>
          <w:bCs/>
        </w:rPr>
        <w:t>87.689.130,08</w:t>
      </w:r>
      <w:r w:rsidRPr="00666F88">
        <w:rPr>
          <w:b/>
          <w:bCs/>
        </w:rPr>
        <w:t xml:space="preserve"> Kč</w:t>
      </w:r>
      <w:r w:rsidRPr="00666F88">
        <w:t xml:space="preserve"> představují změnu stavu krátkodobých prostředků na bankovních účtech města ve výši </w:t>
      </w:r>
      <w:r w:rsidR="00644B84" w:rsidRPr="00666F88">
        <w:rPr>
          <w:b/>
          <w:bCs/>
        </w:rPr>
        <w:t>mínus</w:t>
      </w:r>
      <w:r w:rsidR="000D3931" w:rsidRPr="00666F88">
        <w:rPr>
          <w:b/>
          <w:bCs/>
        </w:rPr>
        <w:t xml:space="preserve"> </w:t>
      </w:r>
      <w:r w:rsidR="00C522DD" w:rsidRPr="00666F88">
        <w:rPr>
          <w:b/>
          <w:bCs/>
        </w:rPr>
        <w:t>87.807.911,74</w:t>
      </w:r>
      <w:r w:rsidR="009C41E7" w:rsidRPr="00666F88">
        <w:rPr>
          <w:b/>
          <w:bCs/>
        </w:rPr>
        <w:t xml:space="preserve"> </w:t>
      </w:r>
      <w:r w:rsidRPr="00666F88">
        <w:rPr>
          <w:b/>
          <w:bCs/>
        </w:rPr>
        <w:t>Kč</w:t>
      </w:r>
      <w:r w:rsidRPr="00666F88">
        <w:t xml:space="preserve"> (koresponduje s </w:t>
      </w:r>
      <w:r w:rsidR="00644B84" w:rsidRPr="00666F88">
        <w:t>přírůstkem</w:t>
      </w:r>
      <w:r w:rsidRPr="00666F88">
        <w:t xml:space="preserve"> uvedené finanční částky na</w:t>
      </w:r>
      <w:r w:rsidR="00E90CE1" w:rsidRPr="00666F88">
        <w:t xml:space="preserve"> </w:t>
      </w:r>
      <w:r w:rsidR="00866F53" w:rsidRPr="00666F88">
        <w:t>základním běžném účtu</w:t>
      </w:r>
      <w:r w:rsidRPr="00666F88">
        <w:t xml:space="preserve"> a </w:t>
      </w:r>
      <w:r w:rsidR="00E90CE1" w:rsidRPr="00666F88">
        <w:t xml:space="preserve">trvalých </w:t>
      </w:r>
      <w:r w:rsidR="00644B84" w:rsidRPr="00666F88">
        <w:t xml:space="preserve">peněžních </w:t>
      </w:r>
      <w:r w:rsidRPr="00666F88">
        <w:t>fondech</w:t>
      </w:r>
      <w:r w:rsidR="00866F53" w:rsidRPr="00666F88">
        <w:t xml:space="preserve"> </w:t>
      </w:r>
      <w:r w:rsidRPr="00666F88">
        <w:t>města</w:t>
      </w:r>
      <w:r w:rsidR="00866F53" w:rsidRPr="00666F88">
        <w:t xml:space="preserve"> k </w:t>
      </w:r>
      <w:proofErr w:type="gramStart"/>
      <w:r w:rsidR="00866F53" w:rsidRPr="00666F88">
        <w:t>31.12.201</w:t>
      </w:r>
      <w:r w:rsidR="00C522DD" w:rsidRPr="00666F88">
        <w:t>4</w:t>
      </w:r>
      <w:proofErr w:type="gramEnd"/>
      <w:r w:rsidR="00C522DD" w:rsidRPr="00666F88">
        <w:t>),</w:t>
      </w:r>
      <w:r w:rsidR="00E773D7" w:rsidRPr="00666F88">
        <w:t xml:space="preserve"> uhrazené splátky </w:t>
      </w:r>
      <w:r w:rsidRPr="00666F88">
        <w:t>dlouhodob</w:t>
      </w:r>
      <w:r w:rsidR="00E773D7" w:rsidRPr="00666F88">
        <w:t>ých</w:t>
      </w:r>
      <w:r w:rsidRPr="00666F88">
        <w:t xml:space="preserve"> přijat</w:t>
      </w:r>
      <w:r w:rsidR="00E773D7" w:rsidRPr="00666F88">
        <w:t>ých</w:t>
      </w:r>
      <w:r w:rsidRPr="00666F88">
        <w:t xml:space="preserve"> půjčen</w:t>
      </w:r>
      <w:r w:rsidR="00E773D7" w:rsidRPr="00666F88">
        <w:t>ých</w:t>
      </w:r>
      <w:r w:rsidRPr="00666F88">
        <w:t xml:space="preserve"> prostředk</w:t>
      </w:r>
      <w:r w:rsidR="00E773D7" w:rsidRPr="00666F88">
        <w:t>ů</w:t>
      </w:r>
      <w:r w:rsidRPr="00666F88">
        <w:t xml:space="preserve"> ve výši </w:t>
      </w:r>
      <w:r w:rsidR="00E773D7" w:rsidRPr="00666F88">
        <w:rPr>
          <w:b/>
          <w:bCs/>
        </w:rPr>
        <w:t xml:space="preserve">mínus </w:t>
      </w:r>
      <w:r w:rsidR="00C522DD" w:rsidRPr="00666F88">
        <w:rPr>
          <w:b/>
          <w:bCs/>
        </w:rPr>
        <w:t>868.204</w:t>
      </w:r>
      <w:r w:rsidRPr="00666F88">
        <w:rPr>
          <w:b/>
          <w:bCs/>
        </w:rPr>
        <w:t xml:space="preserve"> Kč </w:t>
      </w:r>
      <w:r w:rsidRPr="00666F88">
        <w:t>(</w:t>
      </w:r>
      <w:r w:rsidR="00E773D7" w:rsidRPr="00666F88">
        <w:t xml:space="preserve">splátka </w:t>
      </w:r>
      <w:r w:rsidRPr="00666F88">
        <w:t>půjčk</w:t>
      </w:r>
      <w:r w:rsidR="00C03E36" w:rsidRPr="00666F88">
        <w:t>y</w:t>
      </w:r>
      <w:r w:rsidRPr="00666F88">
        <w:t xml:space="preserve"> ze SFŽP ČR na investiční akci „Splašková kanalizace </w:t>
      </w:r>
      <w:proofErr w:type="spellStart"/>
      <w:r w:rsidRPr="00666F88">
        <w:t>Vrahovice</w:t>
      </w:r>
      <w:proofErr w:type="spellEnd"/>
      <w:r w:rsidRPr="00666F88">
        <w:t xml:space="preserve"> – </w:t>
      </w:r>
      <w:proofErr w:type="spellStart"/>
      <w:r w:rsidRPr="00666F88">
        <w:t>Čechůvky</w:t>
      </w:r>
      <w:proofErr w:type="spellEnd"/>
      <w:r w:rsidR="00AD1310" w:rsidRPr="00666F88">
        <w:t>“</w:t>
      </w:r>
      <w:r w:rsidR="00DB2C5F" w:rsidRPr="00666F88">
        <w:t>)</w:t>
      </w:r>
      <w:r w:rsidR="00C522DD" w:rsidRPr="00666F88">
        <w:t xml:space="preserve"> a operace z peněžních účtů organizace nemající charakter příjmů a výdajů vládního sektoru ve výši </w:t>
      </w:r>
      <w:r w:rsidR="00C522DD" w:rsidRPr="00666F88">
        <w:rPr>
          <w:b/>
        </w:rPr>
        <w:t xml:space="preserve">plus 986.985,66 Kč </w:t>
      </w:r>
      <w:r w:rsidR="00C522DD" w:rsidRPr="00666F88">
        <w:t>(</w:t>
      </w:r>
      <w:r w:rsidR="009E28CC" w:rsidRPr="00666F88">
        <w:t>DPH - přenesená daňová povinnost v měsíci 12/2014)</w:t>
      </w:r>
      <w:r w:rsidRPr="00666F88">
        <w:t>. Je tedy splněna zásada obecně platné rovnice:</w:t>
      </w:r>
    </w:p>
    <w:p w:rsidR="002C2C65" w:rsidRPr="00666F88" w:rsidRDefault="002C2C65" w:rsidP="00205B60">
      <w:pPr>
        <w:jc w:val="both"/>
      </w:pPr>
    </w:p>
    <w:p w:rsidR="002C2C65" w:rsidRPr="00666F88" w:rsidRDefault="002C2C65" w:rsidP="00205B60">
      <w:pPr>
        <w:jc w:val="center"/>
      </w:pPr>
      <w:r w:rsidRPr="00666F88">
        <w:rPr>
          <w:b/>
          <w:bCs/>
          <w:highlight w:val="yellow"/>
        </w:rPr>
        <w:t>PŘÍJMY - VÝDAJE = PŘEBYTEK (+)/SCHODEK (-) = minus/plus FINANCOVÁNÍ</w:t>
      </w:r>
    </w:p>
    <w:p w:rsidR="002C2C65" w:rsidRPr="00666F88" w:rsidRDefault="002C2C65" w:rsidP="00205B60">
      <w:pPr>
        <w:ind w:firstLine="708"/>
        <w:jc w:val="both"/>
      </w:pPr>
    </w:p>
    <w:p w:rsidR="002C2C65" w:rsidRPr="00666F88" w:rsidRDefault="002C2C65" w:rsidP="003A396F">
      <w:pPr>
        <w:ind w:firstLine="708"/>
        <w:jc w:val="both"/>
      </w:pPr>
      <w:r w:rsidRPr="00666F88">
        <w:t>Celý materiál je postaven v rovině konsolidovaných a nekonsolidovaných výsledků. Výsledky hospodaření jsou potom komentovány v rovině konsolidovaných údajů. Konsolidace se projevila u kapitoly</w:t>
      </w:r>
      <w:r w:rsidR="00321844">
        <w:t xml:space="preserve"> 13 – Městská policie (příjmy – podmínka dotačního titulu),</w:t>
      </w:r>
      <w:r w:rsidR="00DB2C5F" w:rsidRPr="00666F88">
        <w:t xml:space="preserve"> </w:t>
      </w:r>
      <w:r w:rsidRPr="00666F88">
        <w:t xml:space="preserve">70 - Finanční odbor (příjmy; výdaje = operace spojené s převodem finančních prostředků mezi účty a </w:t>
      </w:r>
      <w:r w:rsidR="00866F53" w:rsidRPr="00666F88">
        <w:t xml:space="preserve">trvalými peněžními </w:t>
      </w:r>
      <w:r w:rsidRPr="00666F88">
        <w:t>fondy města)</w:t>
      </w:r>
      <w:r w:rsidR="00583712" w:rsidRPr="00666F88">
        <w:t xml:space="preserve"> a</w:t>
      </w:r>
      <w:r w:rsidRPr="00666F88">
        <w:t xml:space="preserve"> kapitoly 71 - Sociální fond (příjmy = převod prostředků z rozpočtu města do fondu ve schválené výši)</w:t>
      </w:r>
      <w:r w:rsidR="00583712" w:rsidRPr="00666F88">
        <w:t xml:space="preserve">. </w:t>
      </w:r>
      <w:r w:rsidRPr="00666F88">
        <w:t>Tyto finanční operace pouze tzv. nabalují rozpočet a proto je nutná konsolidace, aby byl zjištěn skutečný stav</w:t>
      </w:r>
      <w:r w:rsidR="00866F53" w:rsidRPr="00666F88">
        <w:t xml:space="preserve"> finančního</w:t>
      </w:r>
      <w:r w:rsidRPr="00666F88">
        <w:t xml:space="preserve"> hospodaření běžného rozpočtového období. Na výsledné saldo konsolidace vliv nemá, neboť konsolidační položky vykazují stejné hodnoty jak v příjmech, tak i ve výdajích. </w:t>
      </w:r>
    </w:p>
    <w:p w:rsidR="002C2C65" w:rsidRPr="003A396F" w:rsidRDefault="002C2C65" w:rsidP="003A396F">
      <w:pPr>
        <w:jc w:val="both"/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  <w:r w:rsidRPr="00666F88">
        <w:t>Vlastní položkové plnění příjmů a čerpání výdajů je uvedeno v hodnocení jednotlivých kapitol v účetních sestavách “Rozbor plnění příjmů, resp. čerpání výdajů rozpočtu za období 1</w:t>
      </w:r>
      <w:r w:rsidR="006155EB" w:rsidRPr="00666F88">
        <w:t>2</w:t>
      </w:r>
      <w:r w:rsidRPr="00666F88">
        <w:t>/20</w:t>
      </w:r>
      <w:r w:rsidR="00583712" w:rsidRPr="00666F88">
        <w:t>1</w:t>
      </w:r>
      <w:r w:rsidR="00321844">
        <w:t>4</w:t>
      </w:r>
      <w:r w:rsidRPr="00666F88">
        <w:t xml:space="preserve">”. V komentáři k hospodaření jednotlivých kapitol jsou komentovány položky, které </w:t>
      </w:r>
      <w:r w:rsidR="00866F53" w:rsidRPr="00666F88">
        <w:t xml:space="preserve">zásadně </w:t>
      </w:r>
      <w:r w:rsidRPr="00666F88">
        <w:t xml:space="preserve">vybočují z rámce rozpočtového předpokladu sledovaného období, tzv. vykazují určitou abnormalitu v řádném plnění, resp. čerpání v průběhu sledovaného období. Celkový přehled o hospodaření </w:t>
      </w:r>
      <w:r w:rsidR="00866F53" w:rsidRPr="00666F88">
        <w:t xml:space="preserve">statutárního </w:t>
      </w:r>
      <w:r w:rsidRPr="00666F88">
        <w:t xml:space="preserve">města Prostějova je uveden v úvodu v sestavách “Vyhodnocení rozpočtu </w:t>
      </w:r>
      <w:r w:rsidR="00321844" w:rsidRPr="003A396F">
        <w:t xml:space="preserve">statutárního </w:t>
      </w:r>
      <w:r w:rsidRPr="003A396F">
        <w:t>města Prostějova za období 1.1</w:t>
      </w:r>
      <w:r w:rsidR="00E4159F" w:rsidRPr="003A396F">
        <w:t>.</w:t>
      </w:r>
      <w:r w:rsidR="006155EB" w:rsidRPr="003A396F">
        <w:t xml:space="preserve"> </w:t>
      </w:r>
      <w:r w:rsidR="00E773D7" w:rsidRPr="003A396F">
        <w:t xml:space="preserve">- </w:t>
      </w:r>
      <w:proofErr w:type="gramStart"/>
      <w:r w:rsidR="00E773D7" w:rsidRPr="003A396F">
        <w:t>31.12.20</w:t>
      </w:r>
      <w:r w:rsidR="00583712" w:rsidRPr="003A396F">
        <w:t>1</w:t>
      </w:r>
      <w:r w:rsidR="00321844" w:rsidRPr="003A396F">
        <w:t>4</w:t>
      </w:r>
      <w:proofErr w:type="gramEnd"/>
      <w:r w:rsidRPr="003A396F">
        <w:t xml:space="preserve"> v tis. Kč dle kapitol” (sestavy jsou uvedeny v nekonsolidované i konsolidované podobě) a v sestavě “120 - Přehled pro hodnocení plnění rozpočtu územních </w:t>
      </w:r>
      <w:r w:rsidRPr="003A396F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samosprávných celků v Kč za období 1</w:t>
      </w:r>
      <w:r w:rsidR="006155EB" w:rsidRPr="003A396F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2</w:t>
      </w:r>
      <w:r w:rsidRPr="003A396F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/20</w:t>
      </w:r>
      <w:r w:rsidR="00583712" w:rsidRPr="003A396F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1</w:t>
      </w:r>
      <w:r w:rsidR="00321844" w:rsidRPr="003A396F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4</w:t>
      </w:r>
      <w:r w:rsidR="00C14725" w:rsidRPr="003A396F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 – konsolidace na úrovni vykazující jednotky</w:t>
      </w:r>
      <w:r w:rsidRPr="003A396F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”. Tato sestava vlastně vyjadřuje plnění rozpočtu dle jednotlivých tříd, financování, konsolidaci a přehled o změnách stavu na jednotlivých </w:t>
      </w:r>
      <w:r w:rsidRPr="003A396F"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rozpočtových účtech. </w:t>
      </w:r>
    </w:p>
    <w:p w:rsidR="002C2C65" w:rsidRPr="003A396F" w:rsidRDefault="002C2C65" w:rsidP="003A396F">
      <w:pPr>
        <w:ind w:firstLine="720"/>
        <w:jc w:val="both"/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  <w:r w:rsidRPr="003A396F"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Celý materiál je sestaven do dvou bloků. Do prvního bloku je zařazen úvod, komentující vývoj finančního </w:t>
      </w:r>
      <w:r w:rsidRPr="003A396F">
        <w:rPr>
          <w:rStyle w:val="Siln"/>
          <w:b w:val="0"/>
        </w:rPr>
        <w:t xml:space="preserve">hospodaření města k </w:t>
      </w:r>
      <w:proofErr w:type="gramStart"/>
      <w:r w:rsidRPr="003A396F">
        <w:rPr>
          <w:rStyle w:val="Siln"/>
          <w:b w:val="0"/>
        </w:rPr>
        <w:t>31.12.20</w:t>
      </w:r>
      <w:r w:rsidR="00583712" w:rsidRPr="003A396F">
        <w:rPr>
          <w:rStyle w:val="Siln"/>
          <w:b w:val="0"/>
        </w:rPr>
        <w:t>1</w:t>
      </w:r>
      <w:r w:rsidR="003A396F" w:rsidRPr="003A396F">
        <w:rPr>
          <w:rStyle w:val="Siln"/>
          <w:b w:val="0"/>
        </w:rPr>
        <w:t>4</w:t>
      </w:r>
      <w:proofErr w:type="gramEnd"/>
      <w:r w:rsidRPr="003A396F">
        <w:rPr>
          <w:rStyle w:val="Siln"/>
          <w:b w:val="0"/>
        </w:rPr>
        <w:t xml:space="preserve"> a plnění příjmové a čerpání výdajové části rozpočtu jako celku v daném období. Tato část obsahuje již zmíněné sestavy “Vyhodnocení rozpočtu města Prostějova za období 1.1. - </w:t>
      </w:r>
      <w:proofErr w:type="gramStart"/>
      <w:r w:rsidRPr="003A396F">
        <w:rPr>
          <w:rStyle w:val="Siln"/>
          <w:b w:val="0"/>
        </w:rPr>
        <w:t>31.12.20</w:t>
      </w:r>
      <w:r w:rsidR="00583712" w:rsidRPr="003A396F">
        <w:rPr>
          <w:rStyle w:val="Siln"/>
          <w:b w:val="0"/>
        </w:rPr>
        <w:t>1</w:t>
      </w:r>
      <w:r w:rsidR="003A396F" w:rsidRPr="003A396F">
        <w:rPr>
          <w:rStyle w:val="Siln"/>
          <w:b w:val="0"/>
        </w:rPr>
        <w:t>4</w:t>
      </w:r>
      <w:proofErr w:type="gramEnd"/>
      <w:r w:rsidRPr="003A396F">
        <w:rPr>
          <w:rStyle w:val="Siln"/>
          <w:b w:val="0"/>
        </w:rPr>
        <w:t xml:space="preserve"> v tis. Kč dle kapitol ” a “120 - Přehled pro hodnocení plnění rozpočtu územních samosprávných celků v Kč za období 1</w:t>
      </w:r>
      <w:r w:rsidR="006155EB" w:rsidRPr="003A396F">
        <w:rPr>
          <w:rStyle w:val="Siln"/>
          <w:b w:val="0"/>
        </w:rPr>
        <w:t>2</w:t>
      </w:r>
      <w:r w:rsidR="00E773D7" w:rsidRPr="003A396F">
        <w:rPr>
          <w:rStyle w:val="Siln"/>
          <w:b w:val="0"/>
        </w:rPr>
        <w:t>/20</w:t>
      </w:r>
      <w:r w:rsidR="00583712" w:rsidRPr="003A396F">
        <w:rPr>
          <w:rStyle w:val="Siln"/>
          <w:b w:val="0"/>
        </w:rPr>
        <w:t>1</w:t>
      </w:r>
      <w:r w:rsidR="003A396F" w:rsidRPr="003A396F">
        <w:rPr>
          <w:rStyle w:val="Siln"/>
          <w:b w:val="0"/>
        </w:rPr>
        <w:t>4</w:t>
      </w:r>
      <w:r w:rsidR="00C14725" w:rsidRPr="003A396F">
        <w:rPr>
          <w:rStyle w:val="Siln"/>
          <w:b w:val="0"/>
        </w:rPr>
        <w:t xml:space="preserve"> – konsolidace na úrovni vykazující jednotky </w:t>
      </w:r>
      <w:r w:rsidRPr="003A396F">
        <w:rPr>
          <w:rStyle w:val="Siln"/>
          <w:b w:val="0"/>
        </w:rPr>
        <w:t xml:space="preserve">”. Součástí prvního bloku je dále </w:t>
      </w:r>
      <w:r w:rsidR="00E773D7" w:rsidRPr="003A396F">
        <w:rPr>
          <w:rStyle w:val="Siln"/>
          <w:b w:val="0"/>
        </w:rPr>
        <w:t xml:space="preserve">mimo jiné </w:t>
      </w:r>
      <w:r w:rsidRPr="003A396F">
        <w:rPr>
          <w:rStyle w:val="Siln"/>
          <w:b w:val="0"/>
        </w:rPr>
        <w:t xml:space="preserve">přehled </w:t>
      </w:r>
      <w:r w:rsidR="003A396F" w:rsidRPr="003A396F">
        <w:rPr>
          <w:rStyle w:val="Siln"/>
          <w:b w:val="0"/>
        </w:rPr>
        <w:t>rozpočtových opatření za II. pololetí 2014, která na základě us</w:t>
      </w:r>
      <w:r w:rsidR="00D71B96">
        <w:rPr>
          <w:rStyle w:val="Siln"/>
          <w:b w:val="0"/>
        </w:rPr>
        <w:t>n</w:t>
      </w:r>
      <w:r w:rsidR="003A396F" w:rsidRPr="003A396F">
        <w:rPr>
          <w:rStyle w:val="Siln"/>
          <w:b w:val="0"/>
        </w:rPr>
        <w:t>esení ZMP č. 13250 až 13254 ze dne 17.12.2013 dodatečnému schválení ZMP při projednávání závěrečného účtu statutárního města Prostějova po ukončení rozpočtového roku</w:t>
      </w:r>
      <w:r w:rsidR="003A396F">
        <w:rPr>
          <w:rStyle w:val="Siln"/>
          <w:b w:val="0"/>
        </w:rPr>
        <w:t xml:space="preserve">, přehled </w:t>
      </w:r>
      <w:r w:rsidRPr="003A396F">
        <w:rPr>
          <w:rStyle w:val="Siln"/>
          <w:b w:val="0"/>
        </w:rPr>
        <w:t>finančních zdrojů města</w:t>
      </w:r>
      <w:r w:rsidR="00583712" w:rsidRPr="003A396F">
        <w:rPr>
          <w:rStyle w:val="Siln"/>
          <w:b w:val="0"/>
        </w:rPr>
        <w:t xml:space="preserve"> k 31.12.201</w:t>
      </w:r>
      <w:r w:rsidR="003A396F" w:rsidRPr="003A396F">
        <w:rPr>
          <w:rStyle w:val="Siln"/>
          <w:b w:val="0"/>
        </w:rPr>
        <w:t>4</w:t>
      </w:r>
      <w:r w:rsidRPr="003A396F">
        <w:rPr>
          <w:rStyle w:val="Siln"/>
          <w:b w:val="0"/>
        </w:rPr>
        <w:t>,</w:t>
      </w:r>
      <w:r w:rsidR="00E773D7" w:rsidRPr="003A396F">
        <w:rPr>
          <w:rStyle w:val="Siln"/>
          <w:b w:val="0"/>
        </w:rPr>
        <w:t xml:space="preserve"> </w:t>
      </w:r>
      <w:r w:rsidR="006155EB" w:rsidRPr="003A396F">
        <w:rPr>
          <w:rStyle w:val="Siln"/>
          <w:b w:val="0"/>
        </w:rPr>
        <w:t>tvorba</w:t>
      </w:r>
      <w:r w:rsidR="00583712" w:rsidRPr="003A396F">
        <w:rPr>
          <w:rStyle w:val="Siln"/>
          <w:b w:val="0"/>
        </w:rPr>
        <w:t>,</w:t>
      </w:r>
      <w:r w:rsidR="006155EB" w:rsidRPr="003A396F">
        <w:rPr>
          <w:rStyle w:val="Siln"/>
          <w:b w:val="0"/>
        </w:rPr>
        <w:t xml:space="preserve"> užití</w:t>
      </w:r>
      <w:r w:rsidR="00583712" w:rsidRPr="003A396F">
        <w:rPr>
          <w:rStyle w:val="Siln"/>
          <w:b w:val="0"/>
        </w:rPr>
        <w:t xml:space="preserve"> a zůstatky</w:t>
      </w:r>
      <w:r w:rsidRPr="003A396F">
        <w:rPr>
          <w:rStyle w:val="Siln"/>
          <w:b w:val="0"/>
        </w:rPr>
        <w:t xml:space="preserve"> trvalých peněžních fondů města</w:t>
      </w:r>
      <w:r w:rsidR="006155EB" w:rsidRPr="003A396F">
        <w:rPr>
          <w:rStyle w:val="Siln"/>
          <w:b w:val="0"/>
        </w:rPr>
        <w:t xml:space="preserve"> k 31.12.20</w:t>
      </w:r>
      <w:r w:rsidR="00583712" w:rsidRPr="003A396F">
        <w:rPr>
          <w:rStyle w:val="Siln"/>
          <w:b w:val="0"/>
        </w:rPr>
        <w:t>1</w:t>
      </w:r>
      <w:r w:rsidR="003A396F" w:rsidRPr="003A396F">
        <w:rPr>
          <w:rStyle w:val="Siln"/>
          <w:b w:val="0"/>
        </w:rPr>
        <w:t>4</w:t>
      </w:r>
      <w:r w:rsidRPr="003A396F">
        <w:rPr>
          <w:rStyle w:val="Siln"/>
          <w:b w:val="0"/>
        </w:rPr>
        <w:t xml:space="preserve">, </w:t>
      </w:r>
      <w:r w:rsidR="00EE12C1" w:rsidRPr="003A396F">
        <w:rPr>
          <w:rStyle w:val="Siln"/>
          <w:b w:val="0"/>
        </w:rPr>
        <w:t xml:space="preserve">informace o obchodních společnostech, </w:t>
      </w:r>
      <w:r w:rsidR="00583712" w:rsidRPr="003A396F">
        <w:rPr>
          <w:rStyle w:val="Siln"/>
          <w:b w:val="0"/>
        </w:rPr>
        <w:t xml:space="preserve">kde jediným společníkem je </w:t>
      </w:r>
      <w:r w:rsidR="00866F53" w:rsidRPr="003A396F">
        <w:rPr>
          <w:rStyle w:val="Siln"/>
          <w:b w:val="0"/>
        </w:rPr>
        <w:t xml:space="preserve">statutární </w:t>
      </w:r>
      <w:r w:rsidR="00583712" w:rsidRPr="003A396F">
        <w:rPr>
          <w:rStyle w:val="Siln"/>
          <w:b w:val="0"/>
        </w:rPr>
        <w:t>město Prostějov</w:t>
      </w:r>
      <w:r w:rsidR="00C14725" w:rsidRPr="003A396F">
        <w:rPr>
          <w:rStyle w:val="Siln"/>
          <w:b w:val="0"/>
        </w:rPr>
        <w:t xml:space="preserve">, </w:t>
      </w:r>
      <w:r w:rsidR="00583712" w:rsidRPr="003A396F">
        <w:rPr>
          <w:rStyle w:val="Siln"/>
          <w:b w:val="0"/>
        </w:rPr>
        <w:t xml:space="preserve">informace o majetkové účasti </w:t>
      </w:r>
      <w:r w:rsidR="00866F53" w:rsidRPr="003A396F">
        <w:rPr>
          <w:rStyle w:val="Siln"/>
          <w:b w:val="0"/>
        </w:rPr>
        <w:t xml:space="preserve">statutárního </w:t>
      </w:r>
      <w:r w:rsidR="00583712" w:rsidRPr="003A396F">
        <w:rPr>
          <w:rStyle w:val="Siln"/>
          <w:b w:val="0"/>
        </w:rPr>
        <w:t xml:space="preserve">města </w:t>
      </w:r>
      <w:r w:rsidR="001F2C33" w:rsidRPr="003A396F">
        <w:rPr>
          <w:rStyle w:val="Siln"/>
          <w:b w:val="0"/>
        </w:rPr>
        <w:t>P</w:t>
      </w:r>
      <w:r w:rsidR="00583712" w:rsidRPr="003A396F">
        <w:rPr>
          <w:rStyle w:val="Siln"/>
          <w:b w:val="0"/>
        </w:rPr>
        <w:t>rostějova v ob</w:t>
      </w:r>
      <w:r w:rsidR="001F2C33" w:rsidRPr="003A396F">
        <w:rPr>
          <w:rStyle w:val="Siln"/>
          <w:b w:val="0"/>
        </w:rPr>
        <w:t>c</w:t>
      </w:r>
      <w:r w:rsidR="00583712" w:rsidRPr="003A396F">
        <w:rPr>
          <w:rStyle w:val="Siln"/>
          <w:b w:val="0"/>
        </w:rPr>
        <w:t>hodních společnostech, ve kterých město disponuje nejméně 10% hlasovacích práv</w:t>
      </w:r>
      <w:r w:rsidR="00EE12C1" w:rsidRPr="003A396F">
        <w:rPr>
          <w:rStyle w:val="Siln"/>
          <w:b w:val="0"/>
        </w:rPr>
        <w:t xml:space="preserve">, </w:t>
      </w:r>
      <w:r w:rsidR="00866F53" w:rsidRPr="003A396F">
        <w:rPr>
          <w:rStyle w:val="Siln"/>
          <w:b w:val="0"/>
        </w:rPr>
        <w:t xml:space="preserve">vyúčtování dotací, </w:t>
      </w:r>
      <w:r w:rsidR="00EE12C1" w:rsidRPr="003A396F">
        <w:rPr>
          <w:rStyle w:val="Siln"/>
          <w:b w:val="0"/>
        </w:rPr>
        <w:t>návrh finančního vypořádání roku 20</w:t>
      </w:r>
      <w:r w:rsidR="001F2C33" w:rsidRPr="003A396F">
        <w:rPr>
          <w:rStyle w:val="Siln"/>
          <w:b w:val="0"/>
        </w:rPr>
        <w:t>1</w:t>
      </w:r>
      <w:r w:rsidR="003A396F" w:rsidRPr="003A396F">
        <w:rPr>
          <w:rStyle w:val="Siln"/>
          <w:b w:val="0"/>
        </w:rPr>
        <w:t>4</w:t>
      </w:r>
      <w:r w:rsidR="00EE12C1" w:rsidRPr="003A396F">
        <w:rPr>
          <w:rStyle w:val="Siln"/>
          <w:b w:val="0"/>
        </w:rPr>
        <w:t xml:space="preserve">, </w:t>
      </w:r>
      <w:r w:rsidRPr="003A396F">
        <w:rPr>
          <w:rStyle w:val="Siln"/>
          <w:b w:val="0"/>
        </w:rPr>
        <w:t xml:space="preserve">grafy </w:t>
      </w:r>
      <w:r w:rsidR="006155EB" w:rsidRPr="003A396F">
        <w:rPr>
          <w:rStyle w:val="Siln"/>
          <w:b w:val="0"/>
        </w:rPr>
        <w:t>s plnění</w:t>
      </w:r>
      <w:r w:rsidR="00C14725" w:rsidRPr="003A396F">
        <w:rPr>
          <w:rStyle w:val="Siln"/>
          <w:b w:val="0"/>
        </w:rPr>
        <w:t>m</w:t>
      </w:r>
      <w:r w:rsidR="006155EB" w:rsidRPr="003A396F">
        <w:rPr>
          <w:rStyle w:val="Siln"/>
          <w:b w:val="0"/>
        </w:rPr>
        <w:t>, resp. čerpání</w:t>
      </w:r>
      <w:r w:rsidR="00C14725" w:rsidRPr="003A396F">
        <w:rPr>
          <w:rStyle w:val="Siln"/>
          <w:b w:val="0"/>
        </w:rPr>
        <w:t xml:space="preserve">m </w:t>
      </w:r>
      <w:r w:rsidRPr="003A396F">
        <w:rPr>
          <w:rStyle w:val="Siln"/>
          <w:b w:val="0"/>
        </w:rPr>
        <w:t xml:space="preserve">rozpočtu města, </w:t>
      </w:r>
      <w:r w:rsidR="001F2C33" w:rsidRPr="003A396F">
        <w:rPr>
          <w:rStyle w:val="Siln"/>
          <w:b w:val="0"/>
        </w:rPr>
        <w:t xml:space="preserve">vybrané ukazatele </w:t>
      </w:r>
      <w:proofErr w:type="spellStart"/>
      <w:r w:rsidR="001F2C33" w:rsidRPr="003A396F">
        <w:rPr>
          <w:rStyle w:val="Siln"/>
          <w:b w:val="0"/>
        </w:rPr>
        <w:t>rozvažných</w:t>
      </w:r>
      <w:proofErr w:type="spellEnd"/>
      <w:r w:rsidR="001F2C33" w:rsidRPr="003A396F">
        <w:rPr>
          <w:rStyle w:val="Siln"/>
          <w:b w:val="0"/>
        </w:rPr>
        <w:t xml:space="preserve"> majetkových účtů města a příspěvkových organizací, jejichž zřizovatelem bylo k 31.12.201</w:t>
      </w:r>
      <w:r w:rsidR="003A396F" w:rsidRPr="003A396F">
        <w:rPr>
          <w:rStyle w:val="Siln"/>
          <w:b w:val="0"/>
        </w:rPr>
        <w:t>4</w:t>
      </w:r>
      <w:r w:rsidR="001F2C33" w:rsidRPr="003A396F">
        <w:rPr>
          <w:rStyle w:val="Siln"/>
          <w:b w:val="0"/>
        </w:rPr>
        <w:t xml:space="preserve"> město a </w:t>
      </w:r>
      <w:r w:rsidRPr="003A396F">
        <w:rPr>
          <w:rStyle w:val="Siln"/>
          <w:b w:val="0"/>
        </w:rPr>
        <w:t xml:space="preserve">komentář k vývoji </w:t>
      </w:r>
      <w:r w:rsidRPr="003A396F"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inkasa daní ve sledovaném období rozpočtového roku 20</w:t>
      </w:r>
      <w:r w:rsidR="001F2C33" w:rsidRPr="003A396F"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1</w:t>
      </w:r>
      <w:r w:rsidR="003A396F" w:rsidRPr="003A396F"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4</w:t>
      </w:r>
      <w:r w:rsidRPr="003A396F"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. </w:t>
      </w:r>
    </w:p>
    <w:p w:rsidR="002C2C65" w:rsidRPr="006C150C" w:rsidRDefault="002C2C65" w:rsidP="006C150C">
      <w:pPr>
        <w:ind w:firstLine="720"/>
      </w:pPr>
      <w:r w:rsidRPr="006C150C">
        <w:rPr>
          <w:rStyle w:val="Siln"/>
          <w:b w:val="0"/>
        </w:rPr>
        <w:t>Ve druhém bloku jsou uvedeny výsledky hospodaření jednotlivých kapitol. Jak již bylo uvedeno výše, součástí rozborů hospodaření jednotlivých kapitol je komentář k položkám, které vykázaly určitou</w:t>
      </w:r>
      <w:r w:rsidR="00866F53" w:rsidRPr="006C150C">
        <w:rPr>
          <w:rStyle w:val="Siln"/>
          <w:b w:val="0"/>
        </w:rPr>
        <w:t xml:space="preserve"> vyšší</w:t>
      </w:r>
      <w:r w:rsidRPr="006C150C">
        <w:rPr>
          <w:rStyle w:val="Siln"/>
          <w:b w:val="0"/>
        </w:rPr>
        <w:t xml:space="preserve"> abnormalitu v čerpání či</w:t>
      </w:r>
      <w:r w:rsidRPr="006C150C">
        <w:t xml:space="preserve"> plnění rozpočtu. Kapitoly, které řídí nebo jsou finančně spjaty s příspěvkovými organizacemi</w:t>
      </w:r>
      <w:r w:rsidR="001A6443" w:rsidRPr="006C150C">
        <w:t>,</w:t>
      </w:r>
      <w:r w:rsidRPr="006C150C">
        <w:t xml:space="preserve"> jejichž zřizovatelem je město, obsahují i komentář</w:t>
      </w:r>
      <w:r w:rsidR="007929C7" w:rsidRPr="006C150C">
        <w:t xml:space="preserve">, návrh na rozdělení případného ZVH </w:t>
      </w:r>
      <w:r w:rsidRPr="006C150C">
        <w:t>a tabulku hospodaření s vybranými ukazateli finančního a hmotného plánu těchto organizací.</w:t>
      </w:r>
    </w:p>
    <w:p w:rsidR="00334A9E" w:rsidRPr="006C150C" w:rsidRDefault="00334A9E" w:rsidP="006C150C">
      <w:pPr>
        <w:rPr>
          <w:b/>
        </w:rPr>
      </w:pPr>
    </w:p>
    <w:p w:rsidR="009364AD" w:rsidRPr="006C150C" w:rsidRDefault="009364AD" w:rsidP="006C150C">
      <w:pPr>
        <w:rPr>
          <w:b/>
        </w:rPr>
      </w:pPr>
    </w:p>
    <w:p w:rsidR="002C2C65" w:rsidRPr="00666F88" w:rsidRDefault="002C2C65" w:rsidP="003A396F">
      <w:pPr>
        <w:pStyle w:val="Nadpis4"/>
        <w:spacing w:before="0" w:after="0"/>
        <w:jc w:val="both"/>
        <w:rPr>
          <w:sz w:val="24"/>
          <w:szCs w:val="24"/>
          <w:u w:val="single"/>
        </w:rPr>
      </w:pPr>
      <w:r w:rsidRPr="00666F88">
        <w:rPr>
          <w:sz w:val="24"/>
          <w:szCs w:val="24"/>
          <w:u w:val="single"/>
          <w:shd w:val="clear" w:color="auto" w:fill="FFC000"/>
        </w:rPr>
        <w:t>Kontrolní dny</w:t>
      </w:r>
    </w:p>
    <w:p w:rsidR="002C2C65" w:rsidRPr="00666F88" w:rsidRDefault="002C2C65" w:rsidP="003A396F">
      <w:pPr>
        <w:jc w:val="both"/>
        <w:rPr>
          <w:b/>
          <w:bCs/>
        </w:rPr>
      </w:pPr>
    </w:p>
    <w:p w:rsidR="002C2C65" w:rsidRPr="00666F88" w:rsidRDefault="002C2C65" w:rsidP="003A396F">
      <w:pPr>
        <w:jc w:val="both"/>
      </w:pPr>
      <w:r w:rsidRPr="00666F88">
        <w:tab/>
        <w:t xml:space="preserve">Ve všech příspěvkových organizacích (dále jen PO) zřízených </w:t>
      </w:r>
      <w:r w:rsidR="00A61D3C" w:rsidRPr="00666F88">
        <w:t xml:space="preserve">statutárním </w:t>
      </w:r>
      <w:r w:rsidRPr="00666F88">
        <w:t>městem Prostějovem proběhly v období měsíce února 20</w:t>
      </w:r>
      <w:r w:rsidR="004E773B" w:rsidRPr="00666F88">
        <w:t>1</w:t>
      </w:r>
      <w:r w:rsidR="002675C4" w:rsidRPr="00666F88">
        <w:t>5</w:t>
      </w:r>
      <w:r w:rsidRPr="00666F88">
        <w:t xml:space="preserve"> kontrolní dny (dále jen KD) k výsledkům hospodaření organizací za rok 20</w:t>
      </w:r>
      <w:r w:rsidR="004E773B" w:rsidRPr="00666F88">
        <w:t>1</w:t>
      </w:r>
      <w:r w:rsidR="002675C4" w:rsidRPr="00666F88">
        <w:t>4</w:t>
      </w:r>
      <w:r w:rsidRPr="00666F88">
        <w:t xml:space="preserve">. Byly zaměřeny na analýzu výnosů, nákladů, fondového hospodaření organizací, rozbor pohledávek a závazků (v případě </w:t>
      </w:r>
      <w:r w:rsidRPr="00666F88">
        <w:lastRenderedPageBreak/>
        <w:t>pohledávek</w:t>
      </w:r>
      <w:r w:rsidR="00CF46C7" w:rsidRPr="00666F88">
        <w:t xml:space="preserve"> a závazků</w:t>
      </w:r>
      <w:r w:rsidRPr="00666F88">
        <w:t xml:space="preserve"> po lhůtě splatnosti na jejich vymáhání</w:t>
      </w:r>
      <w:r w:rsidR="00CF46C7" w:rsidRPr="00666F88">
        <w:t xml:space="preserve"> nebo úhradu</w:t>
      </w:r>
      <w:r w:rsidR="00755924" w:rsidRPr="00666F88">
        <w:t xml:space="preserve">), rozbor dosaženého </w:t>
      </w:r>
      <w:r w:rsidR="004E773B" w:rsidRPr="00666F88">
        <w:t>výsledku hospodaření</w:t>
      </w:r>
      <w:r w:rsidRPr="00666F88">
        <w:t xml:space="preserve"> (dále jen </w:t>
      </w:r>
      <w:r w:rsidR="004E773B" w:rsidRPr="00666F88">
        <w:t>VH</w:t>
      </w:r>
      <w:r w:rsidRPr="00666F88">
        <w:t xml:space="preserve">) v hlavní činnosti (dále jen HČ) </w:t>
      </w:r>
      <w:r w:rsidR="002675C4" w:rsidRPr="00666F88">
        <w:t xml:space="preserve">a </w:t>
      </w:r>
      <w:r w:rsidRPr="00666F88">
        <w:t>v doplňkové činnosti (dále jen DČ), pokud tuto organizace vykonává</w:t>
      </w:r>
      <w:r w:rsidR="002675C4" w:rsidRPr="00666F88">
        <w:t>, s návrhem na přidělení peněžním fondům organizace v případě zlepšeného výsledku hospodaření (dále jen ZVH), případně odvod na účet zřizovatele</w:t>
      </w:r>
      <w:r w:rsidRPr="00666F88">
        <w:t>. V posuzování těchto ukazatelů bylo vycházeno z</w:t>
      </w:r>
      <w:r w:rsidR="00CF46C7" w:rsidRPr="00666F88">
        <w:t> </w:t>
      </w:r>
      <w:r w:rsidRPr="00666F88">
        <w:t>předložených</w:t>
      </w:r>
      <w:r w:rsidR="00CF46C7" w:rsidRPr="00666F88">
        <w:t xml:space="preserve"> </w:t>
      </w:r>
      <w:r w:rsidRPr="00666F88">
        <w:t>rozborových zpráv o hospodaření jednotlivých organizací, účetních výkazů za sledované období (rozvaha, výkaz zisku a ztráty PO, příloh</w:t>
      </w:r>
      <w:r w:rsidR="004E773B" w:rsidRPr="00666F88">
        <w:t>y</w:t>
      </w:r>
      <w:r w:rsidRPr="00666F88">
        <w:t xml:space="preserve">) a z odpovědí na ústní dotazy, objasňující některé záležitosti, které nebyly součástí rozborové zprávy. KD rovněž sloužily k projednání potřebných informací ze strany zřizovatele směrem k organizacím a naopak. V hodnocení hospodaření jednotlivých organizací, v rámci příslušné kapitoly, je uveden stručně rozbor dosaženého </w:t>
      </w:r>
      <w:r w:rsidR="004E773B" w:rsidRPr="00666F88">
        <w:t>VH</w:t>
      </w:r>
      <w:r w:rsidRPr="00666F88">
        <w:t xml:space="preserve"> v oblasti HČ, popř. DČ, návrh na přidělení části nebo celého </w:t>
      </w:r>
      <w:r w:rsidR="004E773B" w:rsidRPr="00666F88">
        <w:t>VH</w:t>
      </w:r>
      <w:r w:rsidR="00CF46C7" w:rsidRPr="00666F88">
        <w:t xml:space="preserve"> </w:t>
      </w:r>
      <w:r w:rsidRPr="00666F88">
        <w:t>peněžním fondům organizace dle zákona č. 250/2000 Sb., o rozpočtových pravidlech územních rozpočtů</w:t>
      </w:r>
      <w:r w:rsidR="00EF11F2" w:rsidRPr="00666F88">
        <w:t>,</w:t>
      </w:r>
      <w:r w:rsidRPr="00666F88">
        <w:t xml:space="preserve"> ve znění pozdějších předpisů,</w:t>
      </w:r>
      <w:r w:rsidR="00755924" w:rsidRPr="00666F88">
        <w:t xml:space="preserve"> pokud organizace ZVH vytvořila,</w:t>
      </w:r>
      <w:r w:rsidRPr="00666F88">
        <w:t xml:space="preserve"> fondové hospodaření organizace během sledovaného období (počáteční </w:t>
      </w:r>
      <w:proofErr w:type="spellStart"/>
      <w:r w:rsidRPr="00666F88">
        <w:t>stav-zdroje-čerpání-konečný</w:t>
      </w:r>
      <w:proofErr w:type="spellEnd"/>
      <w:r w:rsidRPr="00666F88">
        <w:t xml:space="preserve"> stav)</w:t>
      </w:r>
      <w:r w:rsidR="00CF46C7" w:rsidRPr="00666F88">
        <w:t>,</w:t>
      </w:r>
      <w:r w:rsidRPr="00666F88">
        <w:t xml:space="preserve"> rekapitulace pohledávek a závazků</w:t>
      </w:r>
      <w:r w:rsidR="00CF46C7" w:rsidRPr="00666F88">
        <w:t xml:space="preserve"> po lhůtě splatnosti i s výhledem jejich vymáhání nebo úhrady, přehled obdržených darů a přehled provedených úprav finančního plánu ve sledovaném období.</w:t>
      </w:r>
      <w:r w:rsidRPr="00666F88">
        <w:t xml:space="preserve"> </w:t>
      </w:r>
      <w:r w:rsidR="00941867" w:rsidRPr="00666F88">
        <w:t>U jednotlivých PO</w:t>
      </w:r>
      <w:r w:rsidRPr="00666F88">
        <w:t xml:space="preserve"> jsou</w:t>
      </w:r>
      <w:r w:rsidR="00941867" w:rsidRPr="00666F88">
        <w:t xml:space="preserve"> u kapitol 20 – Školství, kultura a sport a 21 – Sociální věci</w:t>
      </w:r>
      <w:r w:rsidR="00CF46C7" w:rsidRPr="00666F88">
        <w:t xml:space="preserve"> uveden přehled splněných usnesení z KD k výsledkům hospodaření za I. pololetí 201</w:t>
      </w:r>
      <w:r w:rsidR="002675C4" w:rsidRPr="00666F88">
        <w:t>4</w:t>
      </w:r>
      <w:r w:rsidR="00CF46C7" w:rsidRPr="00666F88">
        <w:t xml:space="preserve">, pokud tato byla uložena a </w:t>
      </w:r>
      <w:r w:rsidRPr="00666F88">
        <w:t>další, konkrétní závěry, vyvozené na KD v určité organizaci. Ve všech organizacích byly projednány navíc následující body všeobecného charakteru:</w:t>
      </w:r>
    </w:p>
    <w:p w:rsidR="00755924" w:rsidRPr="00666F88" w:rsidRDefault="00755924" w:rsidP="00205B60">
      <w:pPr>
        <w:numPr>
          <w:ilvl w:val="0"/>
          <w:numId w:val="1"/>
        </w:numPr>
        <w:autoSpaceDE/>
        <w:autoSpaceDN/>
        <w:jc w:val="both"/>
      </w:pPr>
      <w:r w:rsidRPr="00666F88">
        <w:t xml:space="preserve">u jednotlivých organizací byly srovnány a vyhodnoceny ukazatele výnosů a </w:t>
      </w:r>
      <w:r w:rsidR="0051656A" w:rsidRPr="00666F88">
        <w:t>nákladů</w:t>
      </w:r>
      <w:r w:rsidRPr="00666F88">
        <w:t xml:space="preserve">, které </w:t>
      </w:r>
      <w:r w:rsidR="0051656A" w:rsidRPr="00666F88">
        <w:t xml:space="preserve">svým finančním objemem </w:t>
      </w:r>
      <w:r w:rsidRPr="00666F88">
        <w:t>oproti roku 201</w:t>
      </w:r>
      <w:r w:rsidR="00EF3DBC" w:rsidRPr="00666F88">
        <w:t>3</w:t>
      </w:r>
      <w:r w:rsidR="0051656A" w:rsidRPr="00666F88">
        <w:t>,</w:t>
      </w:r>
      <w:r w:rsidRPr="00666F88">
        <w:t xml:space="preserve"> vykázaly určité abnormality směrem dolů a především směrem nahoru</w:t>
      </w:r>
      <w:r w:rsidR="00EF3DBC" w:rsidRPr="00666F88">
        <w:t xml:space="preserve"> (nákladové účty)</w:t>
      </w:r>
      <w:r w:rsidR="0051656A" w:rsidRPr="00666F88">
        <w:t>,</w:t>
      </w:r>
    </w:p>
    <w:p w:rsidR="00EC4A49" w:rsidRPr="00666F88" w:rsidRDefault="00EC4A49" w:rsidP="00205B60">
      <w:pPr>
        <w:numPr>
          <w:ilvl w:val="0"/>
          <w:numId w:val="1"/>
        </w:numPr>
        <w:autoSpaceDE/>
        <w:autoSpaceDN/>
        <w:jc w:val="both"/>
      </w:pPr>
      <w:r w:rsidRPr="00666F88">
        <w:t>všechny organizace byly upozorněny na účelné nakládání se svými peněžním</w:t>
      </w:r>
      <w:r w:rsidR="00D71B96">
        <w:t>i</w:t>
      </w:r>
      <w:r w:rsidRPr="00666F88">
        <w:t xml:space="preserve"> fondy.</w:t>
      </w:r>
    </w:p>
    <w:p w:rsidR="00AB0295" w:rsidRPr="00666F88" w:rsidRDefault="002C2C65" w:rsidP="009364AD">
      <w:pPr>
        <w:numPr>
          <w:ilvl w:val="12"/>
          <w:numId w:val="0"/>
        </w:numPr>
        <w:ind w:firstLine="708"/>
        <w:jc w:val="both"/>
      </w:pPr>
      <w:r w:rsidRPr="00666F88">
        <w:t xml:space="preserve">Z každého jednání KD byl pořízen písemný záznam. Jednání KD se nezabývalo dokladovou kontrolou vytváření zdrojů účtovaných prostřednictvím výnosových účtů a užití finančních prostředků účtovaných prostřednictvím nákladových účtů. Tyto kontroly </w:t>
      </w:r>
      <w:r w:rsidR="00270546" w:rsidRPr="00666F88">
        <w:t>periodicky prováděl</w:t>
      </w:r>
      <w:r w:rsidR="00D51AA9" w:rsidRPr="00666F88">
        <w:t>o</w:t>
      </w:r>
      <w:r w:rsidR="00270546" w:rsidRPr="00666F88">
        <w:t xml:space="preserve"> v roce 20</w:t>
      </w:r>
      <w:r w:rsidR="004E773B" w:rsidRPr="00666F88">
        <w:t>1</w:t>
      </w:r>
      <w:r w:rsidR="00EF3DBC" w:rsidRPr="00666F88">
        <w:t>4</w:t>
      </w:r>
      <w:r w:rsidRPr="00666F88">
        <w:t xml:space="preserve"> </w:t>
      </w:r>
      <w:r w:rsidR="00906749" w:rsidRPr="00666F88">
        <w:t>Kontrolní oddělení</w:t>
      </w:r>
      <w:r w:rsidR="00D51AA9" w:rsidRPr="00666F88">
        <w:t xml:space="preserve"> Finančního odboru</w:t>
      </w:r>
      <w:r w:rsidR="004E773B" w:rsidRPr="00666F88">
        <w:t xml:space="preserve"> </w:t>
      </w:r>
      <w:proofErr w:type="spellStart"/>
      <w:r w:rsidR="00831294" w:rsidRPr="00666F88">
        <w:t>MMPv</w:t>
      </w:r>
      <w:proofErr w:type="spellEnd"/>
      <w:r w:rsidRPr="00666F88">
        <w:t xml:space="preserve">. Kompletní materiály k rozborům (rozborové zprávy, účetní sestavy a záznamy z KD) jsou uloženy na </w:t>
      </w:r>
      <w:r w:rsidR="00906749" w:rsidRPr="00666F88">
        <w:t>Finančním odboru</w:t>
      </w:r>
      <w:r w:rsidRPr="00666F88">
        <w:t xml:space="preserve"> </w:t>
      </w:r>
      <w:proofErr w:type="spellStart"/>
      <w:r w:rsidR="00831294" w:rsidRPr="00666F88">
        <w:t>MMPv</w:t>
      </w:r>
      <w:proofErr w:type="spellEnd"/>
      <w:r w:rsidR="0064191D" w:rsidRPr="00666F88">
        <w:t xml:space="preserve"> </w:t>
      </w:r>
      <w:r w:rsidRPr="00666F88">
        <w:t xml:space="preserve">a jsou k dispozici k nahlédnutí představitelům a orgánům města. Následující tabulka ukazuje souhrnně </w:t>
      </w:r>
      <w:r w:rsidR="004E773B" w:rsidRPr="00666F88">
        <w:t>výsledky hospodaření</w:t>
      </w:r>
      <w:r w:rsidRPr="00666F88">
        <w:t xml:space="preserve"> jednotlivých PO v roce 20</w:t>
      </w:r>
      <w:r w:rsidR="004E773B" w:rsidRPr="00666F88">
        <w:t>1</w:t>
      </w:r>
      <w:r w:rsidR="00EF3DBC" w:rsidRPr="00666F88">
        <w:t>4</w:t>
      </w:r>
      <w:r w:rsidRPr="00666F88">
        <w:t xml:space="preserve"> dosažené v HČ a DČ, návrh na rozdělení </w:t>
      </w:r>
      <w:r w:rsidR="004E773B" w:rsidRPr="00666F88">
        <w:t>VH</w:t>
      </w:r>
      <w:r w:rsidR="00831294" w:rsidRPr="00666F88">
        <w:t xml:space="preserve"> </w:t>
      </w:r>
      <w:r w:rsidRPr="00666F88">
        <w:t>směrem k peněžním fondům organizace a odvodu na účet zřizovatele a návrh na odvod prostředků organizace v případě porušení závazných ukazatelů</w:t>
      </w:r>
      <w:r w:rsidR="00A9765D" w:rsidRPr="00666F88">
        <w:t xml:space="preserve"> finančního plánu</w:t>
      </w:r>
      <w:r w:rsidRPr="00666F88">
        <w:t>.</w:t>
      </w:r>
    </w:p>
    <w:p w:rsidR="009364AD" w:rsidRPr="00666F88" w:rsidRDefault="009364AD" w:rsidP="00205B60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2C2C65" w:rsidRPr="00666F88" w:rsidRDefault="002C2C65" w:rsidP="00205B60">
      <w:pPr>
        <w:numPr>
          <w:ilvl w:val="12"/>
          <w:numId w:val="0"/>
        </w:numPr>
        <w:jc w:val="both"/>
        <w:rPr>
          <w:b/>
          <w:bCs/>
          <w:u w:val="single"/>
        </w:rPr>
      </w:pPr>
      <w:r w:rsidRPr="00666F88">
        <w:rPr>
          <w:b/>
          <w:bCs/>
          <w:u w:val="single"/>
        </w:rPr>
        <w:t>Hospodaření příspěvkových organizací v roce 20</w:t>
      </w:r>
      <w:r w:rsidR="003F7AAA" w:rsidRPr="00666F88">
        <w:rPr>
          <w:b/>
          <w:bCs/>
          <w:u w:val="single"/>
        </w:rPr>
        <w:t>1</w:t>
      </w:r>
      <w:r w:rsidR="00EF3DBC" w:rsidRPr="00666F88">
        <w:rPr>
          <w:b/>
          <w:bCs/>
          <w:u w:val="single"/>
        </w:rPr>
        <w:t>4</w:t>
      </w:r>
      <w:r w:rsidRPr="00666F88">
        <w:rPr>
          <w:b/>
          <w:bCs/>
          <w:u w:val="single"/>
        </w:rPr>
        <w:t xml:space="preserve"> - dosažený </w:t>
      </w:r>
      <w:r w:rsidR="003F7AAA" w:rsidRPr="00666F88">
        <w:rPr>
          <w:b/>
          <w:bCs/>
          <w:u w:val="single"/>
        </w:rPr>
        <w:t>ZVH</w:t>
      </w:r>
      <w:r w:rsidRPr="00666F88">
        <w:rPr>
          <w:b/>
          <w:bCs/>
          <w:u w:val="single"/>
        </w:rPr>
        <w:t xml:space="preserve">, návrh na rozdělení </w:t>
      </w:r>
      <w:r w:rsidR="003F7AAA" w:rsidRPr="00666F88">
        <w:rPr>
          <w:b/>
          <w:bCs/>
          <w:u w:val="single"/>
        </w:rPr>
        <w:t>ZVH</w:t>
      </w:r>
    </w:p>
    <w:p w:rsidR="00D92EEC" w:rsidRDefault="00D92EEC" w:rsidP="002C2C65">
      <w:pPr>
        <w:numPr>
          <w:ilvl w:val="12"/>
          <w:numId w:val="0"/>
        </w:numPr>
      </w:pPr>
      <w:bookmarkStart w:id="19" w:name="_MON_1297064155"/>
      <w:bookmarkStart w:id="20" w:name="_MON_1358662185"/>
      <w:bookmarkStart w:id="21" w:name="_MON_1358662254"/>
      <w:bookmarkStart w:id="22" w:name="_MON_1358825597"/>
      <w:bookmarkStart w:id="23" w:name="_MON_1358915413"/>
      <w:bookmarkStart w:id="24" w:name="_MON_1359173766"/>
      <w:bookmarkStart w:id="25" w:name="_MON_1359261734"/>
      <w:bookmarkStart w:id="26" w:name="_MON_1359359524"/>
      <w:bookmarkStart w:id="27" w:name="_MON_1359434127"/>
      <w:bookmarkStart w:id="28" w:name="_MON_1391920131"/>
      <w:bookmarkStart w:id="29" w:name="_MON_1391920984"/>
      <w:bookmarkStart w:id="30" w:name="_MON_1391933548"/>
      <w:bookmarkStart w:id="31" w:name="_MON_1392005774"/>
      <w:bookmarkStart w:id="32" w:name="_MON_1392094571"/>
      <w:bookmarkStart w:id="33" w:name="_MON_1266212751"/>
      <w:bookmarkStart w:id="34" w:name="_MON_126621276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76"/>
        <w:gridCol w:w="1417"/>
        <w:gridCol w:w="1418"/>
        <w:gridCol w:w="1276"/>
        <w:gridCol w:w="1275"/>
      </w:tblGrid>
      <w:tr w:rsidR="00BA05DE" w:rsidRPr="00BA05DE" w:rsidTr="00BA05DE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A05DE">
              <w:rPr>
                <w:b/>
                <w:bCs/>
                <w:color w:val="000000"/>
              </w:rPr>
              <w:t>Příspěvková organizace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A05DE">
              <w:rPr>
                <w:b/>
                <w:bCs/>
                <w:color w:val="000000"/>
              </w:rPr>
              <w:t>Výsledek hospodaření v doplňkové činnosti v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A05DE">
              <w:rPr>
                <w:b/>
                <w:bCs/>
                <w:color w:val="000000"/>
              </w:rPr>
              <w:t>Výsledek hospodaření v hlavní činnosti v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proofErr w:type="gramStart"/>
            <w:r w:rsidRPr="00BA05DE">
              <w:rPr>
                <w:b/>
                <w:bCs/>
                <w:color w:val="000000"/>
              </w:rPr>
              <w:t>Příděl  do</w:t>
            </w:r>
            <w:proofErr w:type="gramEnd"/>
            <w:r w:rsidRPr="00BA05DE">
              <w:rPr>
                <w:b/>
                <w:bCs/>
                <w:color w:val="000000"/>
              </w:rPr>
              <w:t xml:space="preserve"> rezervního fondu v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proofErr w:type="gramStart"/>
            <w:r w:rsidRPr="00BA05DE">
              <w:rPr>
                <w:b/>
                <w:bCs/>
                <w:color w:val="000000"/>
              </w:rPr>
              <w:t>Příděl  do</w:t>
            </w:r>
            <w:proofErr w:type="gramEnd"/>
            <w:r w:rsidRPr="00BA05DE">
              <w:rPr>
                <w:b/>
                <w:bCs/>
                <w:color w:val="000000"/>
              </w:rPr>
              <w:t xml:space="preserve"> fondu odměn v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05DE" w:rsidRPr="00BA05DE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A05DE">
              <w:rPr>
                <w:b/>
                <w:bCs/>
                <w:color w:val="000000"/>
              </w:rPr>
              <w:t>Odvod na účet zřizovatele v Kč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MŠ PV, Rumunská ul. 23, 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94 043,76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84 043,76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MŠ PV, ul. Šárka 4a, 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103 705,13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73 705,13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30 000,00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MŠ PV, Partyzánská ul. 34, 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77 229,40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38 471,34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105 700,74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MŠ PV, Smetanova ul. 24, 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8 740,00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190 412,28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189 152,28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MŠ PV, Moravská ul. 30, 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49 482,28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49 923,81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3 558,47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ZŠ a MŠ PV, Palackého tř.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300 878,00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96 698,16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34 771,68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ZŠ a MŠ PV, Kollárova ul.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52 588,00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133 008,08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185 596,08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 xml:space="preserve">ZŠ a MŠ </w:t>
            </w:r>
            <w:proofErr w:type="gramStart"/>
            <w:r w:rsidRPr="00BA05DE">
              <w:rPr>
                <w:rFonts w:ascii="Times New Roman CE" w:hAnsi="Times New Roman CE" w:cs="Times New Roman CE"/>
              </w:rPr>
              <w:t>J.Ž.</w:t>
            </w:r>
            <w:proofErr w:type="gramEnd"/>
            <w:r w:rsidRPr="00BA05DE">
              <w:rPr>
                <w:rFonts w:ascii="Times New Roman CE" w:hAnsi="Times New Roman CE" w:cs="Times New Roman CE"/>
              </w:rPr>
              <w:t xml:space="preserve"> PV, Sídliště svobody 24/79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79 030,71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46 050,71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125 081,42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ZŠ a MŠ PV, Melantrichova ul.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196 404,38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41 534,22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176 404,38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41 534,22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 xml:space="preserve">ZŠ PV, ul. </w:t>
            </w:r>
            <w:proofErr w:type="spellStart"/>
            <w:r w:rsidRPr="00BA05DE">
              <w:rPr>
                <w:rFonts w:ascii="Times New Roman CE" w:hAnsi="Times New Roman CE" w:cs="Times New Roman CE"/>
              </w:rPr>
              <w:t>Vl</w:t>
            </w:r>
            <w:proofErr w:type="spellEnd"/>
            <w:r w:rsidRPr="00BA05DE">
              <w:rPr>
                <w:rFonts w:ascii="Times New Roman CE" w:hAnsi="Times New Roman CE" w:cs="Times New Roman CE"/>
              </w:rPr>
              <w:t>. Majakovského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66 876,00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74 974,63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66 876,00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74 974,63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RG a ZŠ města PV, Studentská ul.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216 693,00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47 245,12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166 693,00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47 245,12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ZŠ PV, PO, ul. Dr. Horáka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185 622,09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225 250,72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410 872,81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ZŠ PV, PO, ul. E. Valenty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78 334,59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-1 590 572,86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12346A" w:rsidP="00BA05DE">
            <w:pPr>
              <w:autoSpaceDE/>
              <w:autoSpaceDN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Sportcentrum DDM PV, PO, Olympijská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261 487,88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325 948,88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487 436,76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 xml:space="preserve">ZUŠ </w:t>
            </w:r>
            <w:proofErr w:type="spellStart"/>
            <w:r w:rsidRPr="00BA05DE">
              <w:rPr>
                <w:rFonts w:ascii="Times New Roman CE" w:hAnsi="Times New Roman CE" w:cs="Times New Roman CE"/>
              </w:rPr>
              <w:t>Vl</w:t>
            </w:r>
            <w:proofErr w:type="spellEnd"/>
            <w:r w:rsidRPr="00BA05DE">
              <w:rPr>
                <w:rFonts w:ascii="Times New Roman CE" w:hAnsi="Times New Roman CE" w:cs="Times New Roman CE"/>
              </w:rPr>
              <w:t xml:space="preserve">. </w:t>
            </w:r>
            <w:proofErr w:type="spellStart"/>
            <w:r w:rsidRPr="00BA05DE">
              <w:rPr>
                <w:rFonts w:ascii="Times New Roman CE" w:hAnsi="Times New Roman CE" w:cs="Times New Roman CE"/>
              </w:rPr>
              <w:t>Ambrose</w:t>
            </w:r>
            <w:proofErr w:type="spellEnd"/>
            <w:r w:rsidRPr="00BA05DE">
              <w:rPr>
                <w:rFonts w:ascii="Times New Roman CE" w:hAnsi="Times New Roman CE" w:cs="Times New Roman CE"/>
              </w:rPr>
              <w:t xml:space="preserve"> PV, </w:t>
            </w:r>
            <w:proofErr w:type="spellStart"/>
            <w:r w:rsidRPr="00BA05DE">
              <w:rPr>
                <w:rFonts w:ascii="Times New Roman CE" w:hAnsi="Times New Roman CE" w:cs="Times New Roman CE"/>
              </w:rPr>
              <w:t>Kravařova</w:t>
            </w:r>
            <w:proofErr w:type="spellEnd"/>
            <w:r w:rsidRPr="00BA05DE">
              <w:rPr>
                <w:rFonts w:ascii="Times New Roman CE" w:hAnsi="Times New Roman CE" w:cs="Times New Roman CE"/>
              </w:rPr>
              <w:t xml:space="preserve"> ul.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6 752,00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143 297,75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137 828,75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12 221,00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Městské divadlo v PV, PO, Vojáčkovo nám.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73 062,37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73 062,37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 xml:space="preserve">Městská knihovna PV, PO, </w:t>
            </w:r>
            <w:r w:rsidRPr="00BA05DE">
              <w:rPr>
                <w:rFonts w:ascii="Times New Roman CE" w:hAnsi="Times New Roman CE" w:cs="Times New Roman CE"/>
              </w:rPr>
              <w:lastRenderedPageBreak/>
              <w:t>Skálovo nám.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145 408,09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120 408,09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lastRenderedPageBreak/>
              <w:t>Jesle, sídliště Svobody, PV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BA05DE">
              <w:rPr>
                <w:rFonts w:ascii="Times New Roman CE" w:hAnsi="Times New Roman CE" w:cs="Times New Roman CE"/>
              </w:rPr>
              <w:t>49 832,80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41 832,80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color w:val="000000"/>
              </w:rPr>
            </w:pPr>
            <w:r w:rsidRPr="00BA05DE">
              <w:rPr>
                <w:color w:val="000000"/>
              </w:rPr>
              <w:t>0,00</w:t>
            </w:r>
          </w:p>
        </w:tc>
      </w:tr>
      <w:tr w:rsidR="00BA05DE" w:rsidRPr="00BA05DE" w:rsidTr="00BA05DE">
        <w:trPr>
          <w:trHeight w:val="1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rPr>
                <w:b/>
                <w:bCs/>
                <w:color w:val="000000"/>
              </w:rPr>
            </w:pPr>
            <w:r w:rsidRPr="00BA05DE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A05DE">
              <w:rPr>
                <w:b/>
                <w:bCs/>
                <w:color w:val="000000"/>
              </w:rPr>
              <w:t>1 607 698,42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A05DE">
              <w:rPr>
                <w:b/>
                <w:bCs/>
                <w:color w:val="000000"/>
              </w:rPr>
              <w:t>214 791,09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5DE" w:rsidRPr="00BA05DE" w:rsidRDefault="0012346A" w:rsidP="00BA05DE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2 529 389,86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A05DE">
              <w:rPr>
                <w:b/>
                <w:bCs/>
                <w:color w:val="000000"/>
              </w:rPr>
              <w:t>236 558,47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5DE" w:rsidRPr="00BA05DE" w:rsidRDefault="00BA05DE" w:rsidP="00BA05DE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A05DE">
              <w:rPr>
                <w:b/>
                <w:bCs/>
                <w:color w:val="000000"/>
              </w:rPr>
              <w:t>205 974,97</w:t>
            </w:r>
          </w:p>
        </w:tc>
      </w:tr>
    </w:tbl>
    <w:p w:rsidR="004E773B" w:rsidRPr="00666F88" w:rsidRDefault="004E773B" w:rsidP="002C2C65">
      <w:pPr>
        <w:numPr>
          <w:ilvl w:val="12"/>
          <w:numId w:val="0"/>
        </w:numPr>
        <w:rPr>
          <w:sz w:val="16"/>
          <w:szCs w:val="16"/>
        </w:rPr>
      </w:pPr>
    </w:p>
    <w:p w:rsidR="009D4DA8" w:rsidRPr="00815C1A" w:rsidRDefault="009D4DA8" w:rsidP="002C2C65">
      <w:pPr>
        <w:numPr>
          <w:ilvl w:val="12"/>
          <w:numId w:val="0"/>
        </w:numPr>
        <w:rPr>
          <w:i/>
          <w:sz w:val="16"/>
          <w:szCs w:val="16"/>
          <w:u w:val="single"/>
        </w:rPr>
      </w:pPr>
      <w:r w:rsidRPr="00815C1A">
        <w:rPr>
          <w:i/>
          <w:sz w:val="16"/>
          <w:szCs w:val="16"/>
          <w:u w:val="single"/>
        </w:rPr>
        <w:t>Poznámka:</w:t>
      </w:r>
    </w:p>
    <w:p w:rsidR="006B584B" w:rsidRPr="00815C1A" w:rsidRDefault="006B584B" w:rsidP="002C2C65">
      <w:pPr>
        <w:numPr>
          <w:ilvl w:val="12"/>
          <w:numId w:val="0"/>
        </w:numPr>
        <w:rPr>
          <w:i/>
          <w:sz w:val="16"/>
          <w:szCs w:val="16"/>
        </w:rPr>
      </w:pPr>
    </w:p>
    <w:p w:rsidR="00E111C0" w:rsidRPr="00815C1A" w:rsidRDefault="00E111C0" w:rsidP="00E111C0">
      <w:pPr>
        <w:jc w:val="both"/>
        <w:rPr>
          <w:i/>
          <w:sz w:val="16"/>
          <w:szCs w:val="16"/>
          <w:u w:val="single"/>
        </w:rPr>
      </w:pPr>
      <w:r w:rsidRPr="00815C1A">
        <w:rPr>
          <w:i/>
          <w:sz w:val="16"/>
          <w:szCs w:val="16"/>
          <w:u w:val="single"/>
        </w:rPr>
        <w:t xml:space="preserve">Výsledek hospodaření příspěvkové organizace ZŠ a MŠ PV, Palackého tř. 14 a ZŠ PV, ul. E. Valenty 52. </w:t>
      </w:r>
    </w:p>
    <w:p w:rsidR="00E111C0" w:rsidRPr="00815C1A" w:rsidRDefault="00E111C0" w:rsidP="00E111C0">
      <w:pPr>
        <w:jc w:val="both"/>
        <w:rPr>
          <w:i/>
          <w:sz w:val="16"/>
          <w:szCs w:val="16"/>
          <w:u w:val="single"/>
        </w:rPr>
      </w:pPr>
    </w:p>
    <w:p w:rsidR="00000B7C" w:rsidRPr="00815C1A" w:rsidRDefault="00E111C0" w:rsidP="00E111C0">
      <w:pPr>
        <w:ind w:firstLine="720"/>
        <w:jc w:val="both"/>
        <w:rPr>
          <w:i/>
          <w:sz w:val="16"/>
          <w:szCs w:val="16"/>
        </w:rPr>
      </w:pPr>
      <w:r w:rsidRPr="00815C1A">
        <w:rPr>
          <w:i/>
          <w:sz w:val="16"/>
          <w:szCs w:val="16"/>
        </w:rPr>
        <w:t xml:space="preserve">Zlepšený výsledek hospodaření </w:t>
      </w:r>
      <w:r w:rsidRPr="00815C1A">
        <w:rPr>
          <w:i/>
          <w:sz w:val="16"/>
          <w:szCs w:val="16"/>
          <w:u w:val="single"/>
        </w:rPr>
        <w:t>ZŠ a MŠ PV, Palackého tř. 14</w:t>
      </w:r>
      <w:r w:rsidRPr="00815C1A">
        <w:rPr>
          <w:i/>
          <w:sz w:val="16"/>
          <w:szCs w:val="16"/>
        </w:rPr>
        <w:t xml:space="preserve"> za rok 2014 v hlavní a doplňkové činnosti ve výši 397.576,16 Kč se skládá z částky: </w:t>
      </w:r>
    </w:p>
    <w:p w:rsidR="00000B7C" w:rsidRPr="00815C1A" w:rsidRDefault="00E111C0" w:rsidP="00000B7C">
      <w:pPr>
        <w:pStyle w:val="Odstavecseseznamem"/>
        <w:numPr>
          <w:ilvl w:val="0"/>
          <w:numId w:val="31"/>
        </w:numPr>
        <w:ind w:left="284" w:hanging="306"/>
        <w:jc w:val="both"/>
        <w:rPr>
          <w:i/>
          <w:sz w:val="16"/>
          <w:szCs w:val="16"/>
        </w:rPr>
      </w:pPr>
      <w:r w:rsidRPr="00815C1A">
        <w:rPr>
          <w:i/>
          <w:sz w:val="16"/>
          <w:szCs w:val="16"/>
        </w:rPr>
        <w:t xml:space="preserve">362.804,48 Kč; jedná se o účetní operaci, vzniklou doúčtováním nekrytého investičního fondu v souladu s § 66 odst. 8 vyhlášky č. 410/2009 Sb., oproti výnosům organizace účetním zápisem 416/649. Jedná se o opravu účetní chyby zjištěné v rámci auditu organizace společností FIN-PARTNER, audit-daně-poradenství, s.r.o. (tato účetní oprava byla provedena po konzultaci s Ing. Andreou </w:t>
      </w:r>
      <w:proofErr w:type="spellStart"/>
      <w:r w:rsidRPr="00815C1A">
        <w:rPr>
          <w:i/>
          <w:sz w:val="16"/>
          <w:szCs w:val="16"/>
        </w:rPr>
        <w:t>Hošákovou</w:t>
      </w:r>
      <w:proofErr w:type="spellEnd"/>
      <w:r w:rsidRPr="00815C1A">
        <w:rPr>
          <w:i/>
          <w:sz w:val="16"/>
          <w:szCs w:val="16"/>
        </w:rPr>
        <w:t xml:space="preserve"> z firmy Daňové poradenství Tomáš Paclík, a</w:t>
      </w:r>
      <w:r w:rsidR="00000B7C" w:rsidRPr="00815C1A">
        <w:rPr>
          <w:i/>
          <w:sz w:val="16"/>
          <w:szCs w:val="16"/>
        </w:rPr>
        <w:t>.s. a nemá žádný daňový dopad),</w:t>
      </w:r>
    </w:p>
    <w:p w:rsidR="00E111C0" w:rsidRPr="00815C1A" w:rsidRDefault="00E111C0" w:rsidP="00000B7C">
      <w:pPr>
        <w:pStyle w:val="Odstavecseseznamem"/>
        <w:numPr>
          <w:ilvl w:val="0"/>
          <w:numId w:val="31"/>
        </w:numPr>
        <w:ind w:left="284" w:hanging="306"/>
        <w:jc w:val="both"/>
        <w:rPr>
          <w:i/>
          <w:sz w:val="16"/>
          <w:szCs w:val="16"/>
        </w:rPr>
      </w:pPr>
      <w:r w:rsidRPr="00815C1A">
        <w:rPr>
          <w:i/>
          <w:sz w:val="16"/>
          <w:szCs w:val="16"/>
        </w:rPr>
        <w:t xml:space="preserve">34.771,68 Kč; jedná se o zlepšený výsledek hospodaření z hlavní a doplňkové činnosti, který je krytý finančními prostředky a bude zdrojem tvorby rezervního fondu. </w:t>
      </w:r>
    </w:p>
    <w:p w:rsidR="00E111C0" w:rsidRPr="00815C1A" w:rsidRDefault="00E111C0" w:rsidP="00E111C0">
      <w:pPr>
        <w:ind w:firstLine="720"/>
        <w:jc w:val="both"/>
        <w:rPr>
          <w:i/>
          <w:sz w:val="16"/>
          <w:szCs w:val="16"/>
          <w:u w:val="single"/>
        </w:rPr>
      </w:pPr>
      <w:r w:rsidRPr="00815C1A">
        <w:rPr>
          <w:i/>
          <w:sz w:val="16"/>
          <w:szCs w:val="16"/>
        </w:rPr>
        <w:t xml:space="preserve">Účetní ztráta </w:t>
      </w:r>
      <w:r w:rsidRPr="00815C1A">
        <w:rPr>
          <w:i/>
          <w:sz w:val="16"/>
          <w:szCs w:val="16"/>
          <w:u w:val="single"/>
        </w:rPr>
        <w:t>ZŠ PV, ul. E. Valenty 52</w:t>
      </w:r>
      <w:r w:rsidRPr="00815C1A">
        <w:rPr>
          <w:i/>
          <w:sz w:val="16"/>
          <w:szCs w:val="16"/>
        </w:rPr>
        <w:t xml:space="preserve"> vznikla zaúčtování odvodu a penále vyměřeného Finančním úřadem pro Olomoucký kraj v celkové výši 1.603.597 Kč (z toho byl odvod ve výši 853.953 Kč a penále 749.644 Kč). Organizace požádala o prominutí odvodu a penále Generální finanční ředitelství, které k </w:t>
      </w:r>
      <w:proofErr w:type="gramStart"/>
      <w:r w:rsidRPr="00815C1A">
        <w:rPr>
          <w:i/>
          <w:sz w:val="16"/>
          <w:szCs w:val="16"/>
        </w:rPr>
        <w:t>31.3.2015</w:t>
      </w:r>
      <w:proofErr w:type="gramEnd"/>
      <w:r w:rsidRPr="00815C1A">
        <w:rPr>
          <w:i/>
          <w:sz w:val="16"/>
          <w:szCs w:val="16"/>
        </w:rPr>
        <w:t xml:space="preserve"> v této věci dosud nerozhodlo. </w:t>
      </w:r>
    </w:p>
    <w:p w:rsidR="00E111C0" w:rsidRPr="00815C1A" w:rsidRDefault="00E111C0" w:rsidP="00E111C0">
      <w:pPr>
        <w:jc w:val="both"/>
        <w:rPr>
          <w:i/>
          <w:sz w:val="16"/>
          <w:szCs w:val="16"/>
        </w:rPr>
      </w:pPr>
      <w:r w:rsidRPr="00815C1A">
        <w:rPr>
          <w:i/>
          <w:sz w:val="16"/>
          <w:szCs w:val="16"/>
        </w:rPr>
        <w:t>Proto se výsledek hospodaření běžného účetního období skládá z částky:</w:t>
      </w:r>
    </w:p>
    <w:p w:rsidR="00E111C0" w:rsidRPr="00815C1A" w:rsidRDefault="00E111C0" w:rsidP="00000B7C">
      <w:pPr>
        <w:pStyle w:val="Prosttext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  <w:r w:rsidRPr="00815C1A"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  <w:t>- 1.603.597 Kč; zaúčtovaný výměr FÚ pro Olomoucký kraj,</w:t>
      </w:r>
    </w:p>
    <w:p w:rsidR="00E111C0" w:rsidRPr="00815C1A" w:rsidRDefault="00E111C0" w:rsidP="00000B7C">
      <w:pPr>
        <w:pStyle w:val="Prosttext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  <w:r w:rsidRPr="00815C1A"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  <w:t>91.358,73 Kč; jedná se o zlepšený výsledek hospodaření organizace.</w:t>
      </w:r>
      <w:r w:rsidRPr="00815C1A">
        <w:rPr>
          <w:i/>
          <w:sz w:val="16"/>
          <w:szCs w:val="16"/>
        </w:rPr>
        <w:tab/>
      </w:r>
    </w:p>
    <w:p w:rsidR="004E773B" w:rsidRPr="00666F88" w:rsidRDefault="004E773B" w:rsidP="00205B60">
      <w:pPr>
        <w:numPr>
          <w:ilvl w:val="12"/>
          <w:numId w:val="0"/>
        </w:numPr>
        <w:jc w:val="both"/>
      </w:pPr>
    </w:p>
    <w:p w:rsidR="009D4DA8" w:rsidRPr="00666F88" w:rsidRDefault="009D4DA8" w:rsidP="00205B60">
      <w:pPr>
        <w:numPr>
          <w:ilvl w:val="12"/>
          <w:numId w:val="0"/>
        </w:numPr>
        <w:jc w:val="both"/>
      </w:pPr>
    </w:p>
    <w:p w:rsidR="00C56E81" w:rsidRPr="00666F88" w:rsidRDefault="00C56E81" w:rsidP="00205B60">
      <w:pPr>
        <w:pStyle w:val="Zkladntext3"/>
        <w:shd w:val="clear" w:color="auto" w:fill="auto"/>
        <w:rPr>
          <w:rFonts w:ascii="Times New Roman" w:hAnsi="Times New Roman" w:cs="Times New Roman"/>
          <w:sz w:val="24"/>
          <w:szCs w:val="24"/>
          <w:u w:val="single"/>
        </w:rPr>
      </w:pP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Úprava základního schváleného rozpočtu </w:t>
      </w:r>
      <w:r w:rsidR="00E32AE1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rozpočtovými opatřeními (ROZOP)</w:t>
      </w: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v období </w:t>
      </w:r>
      <w:proofErr w:type="gramStart"/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1.1</w:t>
      </w:r>
      <w:proofErr w:type="gramEnd"/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. –</w:t>
      </w:r>
      <w:r w:rsidR="00270546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31.12.2</w:t>
      </w:r>
      <w:r w:rsidR="002146D5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01</w:t>
      </w:r>
      <w:r w:rsidR="00A1207B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4</w:t>
      </w:r>
    </w:p>
    <w:p w:rsidR="00C56E81" w:rsidRPr="00666F88" w:rsidRDefault="00C56E81" w:rsidP="00205B60">
      <w:pPr>
        <w:pStyle w:val="Zkladntext3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:rsidR="0065795C" w:rsidRPr="00666F88" w:rsidRDefault="0065795C" w:rsidP="00205B60">
      <w:pPr>
        <w:pStyle w:val="Zkladntext3"/>
        <w:shd w:val="clear" w:color="auto" w:fill="auto"/>
        <w:autoSpaceDE w:val="0"/>
        <w:autoSpaceDN w:val="0"/>
        <w:ind w:firstLine="72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Základní schválený rozpočet města Prostějova pro rok 20</w:t>
      </w:r>
      <w:r w:rsidR="0081574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byl během rozpočtového období roku 20</w:t>
      </w:r>
      <w:r w:rsidR="0081574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upraven na základě ROZOP č</w:t>
      </w:r>
      <w:r w:rsidRPr="00666F88"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 xml:space="preserve">.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 – 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4C69B3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/201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81574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:rsidR="0065795C" w:rsidRPr="00666F88" w:rsidRDefault="0065795C" w:rsidP="00205B60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1CED" w:rsidRPr="00666F88" w:rsidRDefault="00E541F5" w:rsidP="00891CED">
      <w:pPr>
        <w:pStyle w:val="Zkladntext3"/>
        <w:numPr>
          <w:ilvl w:val="0"/>
          <w:numId w:val="2"/>
        </w:numPr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v oblasti příjmů, z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výšením částky o </w:t>
      </w:r>
      <w:r w:rsidR="00A1207B" w:rsidRPr="00666F88">
        <w:rPr>
          <w:rFonts w:ascii="Times New Roman" w:hAnsi="Times New Roman" w:cs="Times New Roman"/>
          <w:sz w:val="20"/>
          <w:szCs w:val="20"/>
        </w:rPr>
        <w:t>105.665.734,94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z hodnoty </w:t>
      </w:r>
      <w:r w:rsidR="00A1207B" w:rsidRPr="00666F88">
        <w:rPr>
          <w:rFonts w:ascii="Times New Roman" w:hAnsi="Times New Roman" w:cs="Times New Roman"/>
          <w:sz w:val="20"/>
          <w:szCs w:val="20"/>
        </w:rPr>
        <w:t>692.412.660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na hodnotu </w:t>
      </w:r>
      <w:r w:rsidR="00A1207B" w:rsidRPr="00666F88">
        <w:rPr>
          <w:rFonts w:ascii="Times New Roman" w:hAnsi="Times New Roman" w:cs="Times New Roman"/>
          <w:sz w:val="20"/>
          <w:szCs w:val="20"/>
        </w:rPr>
        <w:t>798.078.394,94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daňové příjmy </w:t>
      </w:r>
      <w:r w:rsidR="00E32AE1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zvýšeny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 </w:t>
      </w:r>
      <w:r w:rsidR="00E32AE1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částku 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5.241.199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Kč;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nedaňové příjmy zvýšeny o</w:t>
      </w:r>
      <w:r w:rsidR="00E32AE1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částku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10.852.426,05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Kč;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kapitálové příjmy 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zvýšeny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částku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27.068.125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 a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přijaté transfery zvýšeny o 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62.503.984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,89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Kč),</w:t>
      </w:r>
    </w:p>
    <w:p w:rsidR="00891CED" w:rsidRPr="00666F88" w:rsidRDefault="00E541F5" w:rsidP="00891CED">
      <w:pPr>
        <w:pStyle w:val="Zkladntext3"/>
        <w:numPr>
          <w:ilvl w:val="0"/>
          <w:numId w:val="2"/>
        </w:numPr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v oblasti výdajů, z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výšením částky</w:t>
      </w:r>
      <w:r w:rsidR="001C572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66F88">
        <w:rPr>
          <w:rFonts w:ascii="Times New Roman" w:hAnsi="Times New Roman" w:cs="Times New Roman"/>
          <w:bCs w:val="0"/>
          <w:sz w:val="20"/>
          <w:szCs w:val="20"/>
        </w:rPr>
        <w:t>94.226.494,57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z hodnoty </w:t>
      </w:r>
      <w:r w:rsidRPr="00666F88">
        <w:rPr>
          <w:rFonts w:ascii="Times New Roman" w:hAnsi="Times New Roman" w:cs="Times New Roman"/>
          <w:sz w:val="20"/>
          <w:szCs w:val="20"/>
        </w:rPr>
        <w:t>780.262.280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na hodnotu </w:t>
      </w:r>
      <w:r w:rsidRPr="00666F88">
        <w:rPr>
          <w:rFonts w:ascii="Times New Roman" w:hAnsi="Times New Roman" w:cs="Times New Roman"/>
          <w:sz w:val="20"/>
          <w:szCs w:val="20"/>
        </w:rPr>
        <w:t>874.488.774,57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(běžné výdaje zvýšeny o</w:t>
      </w:r>
      <w:r w:rsidR="00055325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částku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31.476.295,58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Kč; kapitálové výdaje zvýšeny o</w:t>
      </w:r>
      <w:r w:rsidR="00055325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částku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62.750.198,99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Kč).</w:t>
      </w:r>
    </w:p>
    <w:p w:rsidR="003B6E80" w:rsidRPr="00666F88" w:rsidRDefault="003B6E80" w:rsidP="003B6E80">
      <w:pPr>
        <w:pStyle w:val="Zkladntext3"/>
        <w:shd w:val="clear" w:color="auto" w:fill="auto"/>
        <w:autoSpaceDE w:val="0"/>
        <w:autoSpaceDN w:val="0"/>
        <w:ind w:left="36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1CED" w:rsidRPr="00666F88" w:rsidRDefault="00891CED" w:rsidP="00891CED">
      <w:pPr>
        <w:pStyle w:val="Zkladntext3"/>
        <w:shd w:val="clear" w:color="auto" w:fill="auto"/>
        <w:autoSpaceDE w:val="0"/>
        <w:autoSpaceDN w:val="0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Tím došlo ke změně i ve třídě 8 (financování), kde hodno</w:t>
      </w:r>
      <w:r w:rsidR="002B1770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ta plusového objemu financování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ve výši </w:t>
      </w:r>
      <w:r w:rsidR="0080645A" w:rsidRPr="00666F88">
        <w:rPr>
          <w:rFonts w:ascii="Times New Roman" w:hAnsi="Times New Roman" w:cs="Times New Roman"/>
          <w:sz w:val="20"/>
          <w:szCs w:val="20"/>
        </w:rPr>
        <w:t>87.849.620</w:t>
      </w:r>
      <w:r w:rsidRPr="00666F88">
        <w:rPr>
          <w:rFonts w:ascii="Times New Roman" w:hAnsi="Times New Roman" w:cs="Times New Roman"/>
          <w:sz w:val="20"/>
          <w:szCs w:val="20"/>
        </w:rPr>
        <w:t xml:space="preserve"> Kč</w:t>
      </w:r>
      <w:r w:rsidRPr="00666F88">
        <w:rPr>
          <w:rFonts w:ascii="Times New Roman" w:hAnsi="Times New Roman" w:cs="Times New Roman"/>
          <w:b w:val="0"/>
          <w:sz w:val="20"/>
          <w:szCs w:val="20"/>
        </w:rPr>
        <w:t xml:space="preserve">, byla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upravena na hodnotu v objemu </w:t>
      </w:r>
      <w:r w:rsidR="0080645A" w:rsidRPr="00666F88">
        <w:rPr>
          <w:rFonts w:ascii="Times New Roman" w:hAnsi="Times New Roman" w:cs="Times New Roman"/>
          <w:sz w:val="20"/>
          <w:szCs w:val="20"/>
        </w:rPr>
        <w:t>76.410.379,63</w:t>
      </w:r>
      <w:r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(změna stavu krátkodobých prostředků na bankovních účtech - úprava o </w:t>
      </w:r>
      <w:r w:rsidR="0080645A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mínus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0645A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11.439.240,37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Kč; </w:t>
      </w:r>
      <w:r w:rsidR="0080645A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snížení rozpočtovaného úbytku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finančních prostředků na BÚ města</w:t>
      </w:r>
      <w:r w:rsidR="0080645A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, finančních rezervách města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).</w:t>
      </w:r>
    </w:p>
    <w:p w:rsidR="00891CED" w:rsidRPr="00666F88" w:rsidRDefault="00891CED" w:rsidP="00891CED">
      <w:pPr>
        <w:pStyle w:val="Zkladntext3"/>
        <w:shd w:val="clear" w:color="auto" w:fill="auto"/>
        <w:autoSpaceDE w:val="0"/>
        <w:autoSpaceDN w:val="0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 tomto případě jde o konsolidovaný rozpočet, bez </w:t>
      </w:r>
      <w:proofErr w:type="spellStart"/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vnitroorganizačních</w:t>
      </w:r>
      <w:proofErr w:type="spellEnd"/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převodů mezi účty a fondy města. Tyto položky nejsou rozpočtovány.</w:t>
      </w:r>
    </w:p>
    <w:p w:rsidR="00AB0295" w:rsidRPr="00666F88" w:rsidRDefault="00AB0295" w:rsidP="009364A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058B" w:rsidRPr="00666F88" w:rsidRDefault="0050058B" w:rsidP="006C150C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E7D07" w:rsidRPr="00666F88" w:rsidRDefault="00CE7D07" w:rsidP="00831294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66F88">
        <w:rPr>
          <w:rFonts w:ascii="Times New Roman" w:hAnsi="Times New Roman" w:cs="Times New Roman"/>
          <w:sz w:val="22"/>
          <w:szCs w:val="22"/>
          <w:u w:val="single"/>
          <w:shd w:val="clear" w:color="auto" w:fill="FFC000"/>
        </w:rPr>
        <w:t>ROZOP,</w:t>
      </w:r>
      <w:r w:rsidR="00B56EC7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která podléhají na základě usnesení ZMP č. 13250 až 13254 ze dne </w:t>
      </w:r>
      <w:proofErr w:type="gramStart"/>
      <w:r w:rsidR="00B56EC7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17.12.2013</w:t>
      </w:r>
      <w:proofErr w:type="gramEnd"/>
      <w:r w:rsidR="00B56EC7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dodatečnému schválení ZMP </w:t>
      </w:r>
      <w:r w:rsidRPr="00666F88">
        <w:rPr>
          <w:rFonts w:ascii="Times New Roman" w:hAnsi="Times New Roman" w:cs="Times New Roman"/>
          <w:sz w:val="22"/>
          <w:szCs w:val="22"/>
          <w:u w:val="single"/>
          <w:shd w:val="clear" w:color="auto" w:fill="FFC000"/>
        </w:rPr>
        <w:t xml:space="preserve">při projednávání závěrečného účtu </w:t>
      </w:r>
      <w:r w:rsidR="003166A6" w:rsidRPr="00666F88">
        <w:rPr>
          <w:rFonts w:ascii="Times New Roman" w:hAnsi="Times New Roman" w:cs="Times New Roman"/>
          <w:sz w:val="22"/>
          <w:szCs w:val="22"/>
          <w:u w:val="single"/>
          <w:shd w:val="clear" w:color="auto" w:fill="FFC000"/>
        </w:rPr>
        <w:t xml:space="preserve">statutárního </w:t>
      </w:r>
      <w:r w:rsidRPr="00666F88">
        <w:rPr>
          <w:rFonts w:ascii="Times New Roman" w:hAnsi="Times New Roman" w:cs="Times New Roman"/>
          <w:sz w:val="22"/>
          <w:szCs w:val="22"/>
          <w:u w:val="single"/>
          <w:shd w:val="clear" w:color="auto" w:fill="FFC000"/>
        </w:rPr>
        <w:t>města Prostějova po ukončení rozpočtového roku</w:t>
      </w:r>
    </w:p>
    <w:p w:rsidR="0055055B" w:rsidRPr="00666F88" w:rsidRDefault="0055055B" w:rsidP="00113513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2"/>
          <w:szCs w:val="22"/>
          <w:highlight w:val="lightGray"/>
          <w:u w:val="single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860"/>
        <w:gridCol w:w="2120"/>
        <w:gridCol w:w="769"/>
        <w:gridCol w:w="1151"/>
        <w:gridCol w:w="769"/>
        <w:gridCol w:w="1151"/>
        <w:gridCol w:w="960"/>
      </w:tblGrid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Příjmy, Financování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Výdaje, Financování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50C">
              <w:rPr>
                <w:b/>
                <w:bCs/>
                <w:color w:val="000000"/>
                <w:sz w:val="16"/>
                <w:szCs w:val="16"/>
              </w:rPr>
              <w:t>Číselný údaj z "Text"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Čís. kap.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Čís. kap.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32/2014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4.7.2014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ÚNID z MZČR - činnost odborného lesního </w:t>
            </w:r>
            <w:proofErr w:type="spellStart"/>
            <w:proofErr w:type="gramStart"/>
            <w:r w:rsidRPr="006C150C">
              <w:rPr>
                <w:sz w:val="16"/>
                <w:szCs w:val="16"/>
              </w:rPr>
              <w:t>hosp</w:t>
            </w:r>
            <w:proofErr w:type="spellEnd"/>
            <w:r w:rsidRPr="006C150C">
              <w:rPr>
                <w:sz w:val="16"/>
                <w:szCs w:val="16"/>
              </w:rPr>
              <w:t>. - I.Q.2014</w:t>
            </w:r>
            <w:proofErr w:type="gramEnd"/>
            <w:r w:rsidRPr="006C150C">
              <w:rPr>
                <w:sz w:val="16"/>
                <w:szCs w:val="16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95 059,00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95 059,00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95 059,00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95 059,00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33/2014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10.7.2014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ÚNID z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Program podpory </w:t>
            </w:r>
            <w:proofErr w:type="spellStart"/>
            <w:r w:rsidRPr="006C150C">
              <w:rPr>
                <w:sz w:val="16"/>
                <w:szCs w:val="16"/>
              </w:rPr>
              <w:t>environ</w:t>
            </w:r>
            <w:proofErr w:type="spellEnd"/>
            <w:r w:rsidRPr="006C150C">
              <w:rPr>
                <w:sz w:val="16"/>
                <w:szCs w:val="16"/>
              </w:rPr>
              <w:t xml:space="preserve">. </w:t>
            </w:r>
            <w:proofErr w:type="spellStart"/>
            <w:r w:rsidRPr="006C150C">
              <w:rPr>
                <w:sz w:val="16"/>
                <w:szCs w:val="16"/>
              </w:rPr>
              <w:t>vzděláv</w:t>
            </w:r>
            <w:proofErr w:type="spellEnd"/>
            <w:r w:rsidRPr="006C150C">
              <w:rPr>
                <w:sz w:val="16"/>
                <w:szCs w:val="16"/>
              </w:rPr>
              <w:t>. - ZŠ a MŠ PV, Melantrichova ul. 60;</w:t>
            </w:r>
            <w:r w:rsidRPr="006C150C">
              <w:rPr>
                <w:sz w:val="16"/>
                <w:szCs w:val="16"/>
              </w:rPr>
              <w:br/>
              <w:t xml:space="preserve">2) MFČR - </w:t>
            </w:r>
            <w:proofErr w:type="spellStart"/>
            <w:r w:rsidRPr="006C150C">
              <w:rPr>
                <w:sz w:val="16"/>
                <w:szCs w:val="16"/>
              </w:rPr>
              <w:t>fin</w:t>
            </w:r>
            <w:proofErr w:type="spellEnd"/>
            <w:r w:rsidRPr="006C150C">
              <w:rPr>
                <w:sz w:val="16"/>
                <w:szCs w:val="16"/>
              </w:rPr>
              <w:t xml:space="preserve">. </w:t>
            </w:r>
            <w:proofErr w:type="gramStart"/>
            <w:r w:rsidRPr="006C150C">
              <w:rPr>
                <w:sz w:val="16"/>
                <w:szCs w:val="16"/>
              </w:rPr>
              <w:t>vypořádání</w:t>
            </w:r>
            <w:proofErr w:type="gramEnd"/>
            <w:r w:rsidRPr="006C150C">
              <w:rPr>
                <w:sz w:val="16"/>
                <w:szCs w:val="16"/>
              </w:rPr>
              <w:t xml:space="preserve"> roku 2013 - Volba prezidenta ČR součást </w:t>
            </w:r>
            <w:proofErr w:type="spellStart"/>
            <w:r w:rsidRPr="006C150C">
              <w:rPr>
                <w:sz w:val="16"/>
                <w:szCs w:val="16"/>
              </w:rPr>
              <w:t>usn</w:t>
            </w:r>
            <w:proofErr w:type="spellEnd"/>
            <w:r w:rsidRPr="006C150C">
              <w:rPr>
                <w:sz w:val="16"/>
                <w:szCs w:val="16"/>
              </w:rPr>
              <w:t xml:space="preserve">. ZMP ze dne </w:t>
            </w:r>
            <w:proofErr w:type="gramStart"/>
            <w:r w:rsidRPr="006C150C">
              <w:rPr>
                <w:sz w:val="16"/>
                <w:szCs w:val="16"/>
              </w:rPr>
              <w:t>13.5.2014</w:t>
            </w:r>
            <w:proofErr w:type="gramEnd"/>
            <w:r w:rsidRPr="006C150C">
              <w:rPr>
                <w:sz w:val="16"/>
                <w:szCs w:val="16"/>
              </w:rPr>
              <w:t xml:space="preserve"> č. 14090;</w:t>
            </w:r>
            <w:r w:rsidRPr="006C150C">
              <w:rPr>
                <w:sz w:val="16"/>
                <w:szCs w:val="16"/>
              </w:rPr>
              <w:br/>
              <w:t xml:space="preserve">3) ÚNID z MZČR - výsadba min. pod. </w:t>
            </w:r>
            <w:proofErr w:type="spellStart"/>
            <w:r w:rsidRPr="006C150C">
              <w:rPr>
                <w:sz w:val="16"/>
                <w:szCs w:val="16"/>
              </w:rPr>
              <w:t>melior</w:t>
            </w:r>
            <w:proofErr w:type="spellEnd"/>
            <w:r w:rsidRPr="006C150C">
              <w:rPr>
                <w:sz w:val="16"/>
                <w:szCs w:val="16"/>
              </w:rPr>
              <w:t xml:space="preserve">. a </w:t>
            </w:r>
            <w:proofErr w:type="spellStart"/>
            <w:r w:rsidRPr="006C150C">
              <w:rPr>
                <w:sz w:val="16"/>
                <w:szCs w:val="16"/>
              </w:rPr>
              <w:t>zpev</w:t>
            </w:r>
            <w:proofErr w:type="spellEnd"/>
            <w:r w:rsidRPr="006C150C">
              <w:rPr>
                <w:sz w:val="16"/>
                <w:szCs w:val="16"/>
              </w:rPr>
              <w:t xml:space="preserve">. </w:t>
            </w:r>
            <w:r w:rsidRPr="006C150C">
              <w:rPr>
                <w:sz w:val="16"/>
                <w:szCs w:val="16"/>
              </w:rPr>
              <w:lastRenderedPageBreak/>
              <w:t>dřevin - 2. pol. 2013.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10 000,00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2 800,00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9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2"/>
                <w:szCs w:val="1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DE2010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DE2010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DE2010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DE2010">
              <w:rPr>
                <w:b/>
                <w:bCs/>
                <w:sz w:val="16"/>
                <w:szCs w:val="16"/>
              </w:rPr>
              <w:t>12 800,00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DE2010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DE2010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DE2010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DE2010">
              <w:rPr>
                <w:b/>
                <w:bCs/>
                <w:sz w:val="16"/>
                <w:szCs w:val="16"/>
              </w:rPr>
              <w:t>12 800,00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2"/>
                <w:szCs w:val="12"/>
              </w:rPr>
            </w:pPr>
            <w:r w:rsidRPr="006C150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lastRenderedPageBreak/>
              <w:t>34/2014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11.7.2014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ÚNID z ÚZ - Aktivní politika zaměstnanosti.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937 739,00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447 585,00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490 154,00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937 739,00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937 739,00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36/2014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31.7.2014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ÚID z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zajištění akceschopnosti JSDH;</w:t>
            </w:r>
            <w:r w:rsidRPr="006C150C">
              <w:rPr>
                <w:sz w:val="16"/>
                <w:szCs w:val="16"/>
              </w:rPr>
              <w:br/>
              <w:t xml:space="preserve">2) ÚNID z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</w:t>
            </w:r>
            <w:proofErr w:type="spellStart"/>
            <w:r w:rsidRPr="006C150C">
              <w:rPr>
                <w:sz w:val="16"/>
                <w:szCs w:val="16"/>
              </w:rPr>
              <w:t>reg</w:t>
            </w:r>
            <w:proofErr w:type="spellEnd"/>
            <w:r w:rsidRPr="006C150C">
              <w:rPr>
                <w:sz w:val="16"/>
                <w:szCs w:val="16"/>
              </w:rPr>
              <w:t xml:space="preserve">. </w:t>
            </w:r>
            <w:proofErr w:type="gramStart"/>
            <w:r w:rsidRPr="006C150C">
              <w:rPr>
                <w:sz w:val="16"/>
                <w:szCs w:val="16"/>
              </w:rPr>
              <w:t>funkce</w:t>
            </w:r>
            <w:proofErr w:type="gramEnd"/>
            <w:r w:rsidRPr="006C150C">
              <w:rPr>
                <w:sz w:val="16"/>
                <w:szCs w:val="16"/>
              </w:rPr>
              <w:t xml:space="preserve"> MK </w:t>
            </w:r>
            <w:proofErr w:type="spellStart"/>
            <w:r w:rsidRPr="006C150C">
              <w:rPr>
                <w:sz w:val="16"/>
                <w:szCs w:val="16"/>
              </w:rPr>
              <w:t>Pv</w:t>
            </w:r>
            <w:proofErr w:type="spellEnd"/>
            <w:r w:rsidRPr="006C150C">
              <w:rPr>
                <w:sz w:val="16"/>
                <w:szCs w:val="16"/>
              </w:rPr>
              <w:t xml:space="preserve"> - 3.Q.2014;</w:t>
            </w:r>
            <w:r w:rsidRPr="006C150C">
              <w:rPr>
                <w:sz w:val="16"/>
                <w:szCs w:val="16"/>
              </w:rPr>
              <w:br/>
              <w:t>3) Rozdělení dotace - volby do EP;</w:t>
            </w:r>
            <w:r w:rsidRPr="006C150C">
              <w:rPr>
                <w:sz w:val="16"/>
                <w:szCs w:val="16"/>
              </w:rPr>
              <w:br/>
              <w:t>4) ÚNID z MPSVČR - SPOD - 2. pololetí 2014.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200 000,00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424 000,00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424 000,00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1 076 000,00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-1 076 000,00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5 010 799,00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5 010 799,00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4)</w:t>
            </w:r>
          </w:p>
        </w:tc>
      </w:tr>
      <w:tr w:rsidR="006C150C" w:rsidRPr="006C150C" w:rsidTr="006C150C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5 634 799,00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5 634 799,00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38/2014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13.8.2014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ÚID z MMR ČR - regenerace </w:t>
            </w:r>
            <w:proofErr w:type="spellStart"/>
            <w:r w:rsidRPr="006C150C">
              <w:rPr>
                <w:sz w:val="16"/>
                <w:szCs w:val="16"/>
              </w:rPr>
              <w:t>sídl</w:t>
            </w:r>
            <w:proofErr w:type="spellEnd"/>
            <w:r w:rsidRPr="006C150C">
              <w:rPr>
                <w:sz w:val="16"/>
                <w:szCs w:val="16"/>
              </w:rPr>
              <w:t>. E. Beneše IV. etapa.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2 571 998,00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2 571 998,00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2 571 998,00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2 571 998,00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39/2014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21.8.2014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ROP SM - </w:t>
            </w:r>
            <w:proofErr w:type="spellStart"/>
            <w:r w:rsidRPr="006C150C">
              <w:rPr>
                <w:sz w:val="16"/>
                <w:szCs w:val="16"/>
              </w:rPr>
              <w:t>Rekonstr</w:t>
            </w:r>
            <w:proofErr w:type="spellEnd"/>
            <w:r w:rsidRPr="006C150C">
              <w:rPr>
                <w:sz w:val="16"/>
                <w:szCs w:val="16"/>
              </w:rPr>
              <w:t xml:space="preserve">. učeben pro výuku přírod. </w:t>
            </w:r>
            <w:proofErr w:type="gramStart"/>
            <w:r w:rsidRPr="006C150C">
              <w:rPr>
                <w:sz w:val="16"/>
                <w:szCs w:val="16"/>
              </w:rPr>
              <w:t>předmětů</w:t>
            </w:r>
            <w:proofErr w:type="gramEnd"/>
            <w:r w:rsidRPr="006C150C">
              <w:rPr>
                <w:sz w:val="16"/>
                <w:szCs w:val="16"/>
              </w:rPr>
              <w:t xml:space="preserve"> na </w:t>
            </w:r>
            <w:proofErr w:type="spellStart"/>
            <w:r w:rsidRPr="006C150C">
              <w:rPr>
                <w:sz w:val="16"/>
                <w:szCs w:val="16"/>
              </w:rPr>
              <w:t>Pv</w:t>
            </w:r>
            <w:proofErr w:type="spellEnd"/>
            <w:r w:rsidRPr="006C150C">
              <w:rPr>
                <w:sz w:val="16"/>
                <w:szCs w:val="16"/>
              </w:rPr>
              <w:t xml:space="preserve"> ZŠ (ÚID);</w:t>
            </w:r>
            <w:r w:rsidRPr="006C150C">
              <w:rPr>
                <w:sz w:val="16"/>
                <w:szCs w:val="16"/>
              </w:rPr>
              <w:br/>
              <w:t xml:space="preserve">2) ROP SM - Na kole </w:t>
            </w:r>
            <w:proofErr w:type="spellStart"/>
            <w:r w:rsidRPr="006C150C">
              <w:rPr>
                <w:sz w:val="16"/>
                <w:szCs w:val="16"/>
              </w:rPr>
              <w:t>biokorid</w:t>
            </w:r>
            <w:proofErr w:type="spellEnd"/>
            <w:r w:rsidRPr="006C150C">
              <w:rPr>
                <w:sz w:val="16"/>
                <w:szCs w:val="16"/>
              </w:rPr>
              <w:t xml:space="preserve">. Hloučela v </w:t>
            </w:r>
            <w:proofErr w:type="spellStart"/>
            <w:r w:rsidRPr="006C150C">
              <w:rPr>
                <w:sz w:val="16"/>
                <w:szCs w:val="16"/>
              </w:rPr>
              <w:t>Pv</w:t>
            </w:r>
            <w:proofErr w:type="spellEnd"/>
            <w:r w:rsidRPr="006C150C">
              <w:rPr>
                <w:sz w:val="16"/>
                <w:szCs w:val="16"/>
              </w:rPr>
              <w:t xml:space="preserve"> (ÚID);</w:t>
            </w:r>
            <w:r w:rsidRPr="006C150C">
              <w:rPr>
                <w:sz w:val="16"/>
                <w:szCs w:val="16"/>
              </w:rPr>
              <w:br/>
              <w:t xml:space="preserve">3)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CZ Dolní . Kralická II. část (ÚID);</w:t>
            </w:r>
            <w:r w:rsidRPr="006C150C">
              <w:rPr>
                <w:sz w:val="16"/>
                <w:szCs w:val="16"/>
              </w:rPr>
              <w:br/>
              <w:t xml:space="preserve">4)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Osvětlení křižovatky </w:t>
            </w:r>
            <w:proofErr w:type="spellStart"/>
            <w:r w:rsidRPr="006C150C">
              <w:rPr>
                <w:sz w:val="16"/>
                <w:szCs w:val="16"/>
              </w:rPr>
              <w:t>Čechůvky</w:t>
            </w:r>
            <w:proofErr w:type="spellEnd"/>
            <w:r w:rsidRPr="006C150C">
              <w:rPr>
                <w:sz w:val="16"/>
                <w:szCs w:val="16"/>
              </w:rPr>
              <w:t xml:space="preserve"> - Kralice (ÚID);</w:t>
            </w:r>
            <w:r w:rsidRPr="006C150C">
              <w:rPr>
                <w:sz w:val="16"/>
                <w:szCs w:val="16"/>
              </w:rPr>
              <w:br/>
              <w:t>5) Úprava rozdělení ÚNID na Volby do EP;</w:t>
            </w:r>
            <w:r w:rsidRPr="006C150C">
              <w:rPr>
                <w:sz w:val="16"/>
                <w:szCs w:val="16"/>
              </w:rPr>
              <w:br/>
              <w:t xml:space="preserve">6) ÚNID z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Zkvalitnění výuky </w:t>
            </w:r>
            <w:proofErr w:type="spellStart"/>
            <w:r w:rsidRPr="006C150C">
              <w:rPr>
                <w:sz w:val="16"/>
                <w:szCs w:val="16"/>
              </w:rPr>
              <w:t>přírodov</w:t>
            </w:r>
            <w:proofErr w:type="spellEnd"/>
            <w:r w:rsidRPr="006C150C">
              <w:rPr>
                <w:sz w:val="16"/>
                <w:szCs w:val="16"/>
              </w:rPr>
              <w:t>. předmětů - ZŠ Dr. Horáka 24;</w:t>
            </w:r>
            <w:r w:rsidRPr="006C150C">
              <w:rPr>
                <w:sz w:val="16"/>
                <w:szCs w:val="16"/>
              </w:rPr>
              <w:br/>
              <w:t xml:space="preserve">7) ÚNID z MPSVČR - Soc.-práv. </w:t>
            </w:r>
            <w:proofErr w:type="gramStart"/>
            <w:r w:rsidRPr="006C150C">
              <w:rPr>
                <w:sz w:val="16"/>
                <w:szCs w:val="16"/>
              </w:rPr>
              <w:t>ochrana</w:t>
            </w:r>
            <w:proofErr w:type="gramEnd"/>
            <w:r w:rsidRPr="006C150C">
              <w:rPr>
                <w:sz w:val="16"/>
                <w:szCs w:val="16"/>
              </w:rPr>
              <w:t xml:space="preserve"> dětí - FV 2013;</w:t>
            </w:r>
            <w:r w:rsidRPr="006C150C">
              <w:rPr>
                <w:sz w:val="16"/>
                <w:szCs w:val="16"/>
              </w:rPr>
              <w:br/>
              <w:t xml:space="preserve">8) ÚID z MKČR - VISK 3 - MK </w:t>
            </w:r>
            <w:proofErr w:type="spellStart"/>
            <w:r w:rsidRPr="006C150C">
              <w:rPr>
                <w:sz w:val="16"/>
                <w:szCs w:val="16"/>
              </w:rPr>
              <w:t>Pv</w:t>
            </w:r>
            <w:proofErr w:type="spellEnd"/>
            <w:r w:rsidRPr="006C150C">
              <w:rPr>
                <w:sz w:val="16"/>
                <w:szCs w:val="16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2 450 475,53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2 450 475,53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4 500 000,00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4 500 000,00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800 000,00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800 000,00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216 000,00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4)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-75 002,32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5)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75 002,32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5)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229 428,10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229 428,10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6)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228 044,28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228 044,28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7)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59 000,00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8)</w:t>
            </w:r>
          </w:p>
        </w:tc>
      </w:tr>
      <w:tr w:rsidR="006C150C" w:rsidRPr="006C150C" w:rsidTr="006C150C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8 482 947,91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8 482 947,91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42/2014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9.9.2014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ÚNID z ÚP - Aktivní politika zaměstnanosti;</w:t>
            </w:r>
            <w:r w:rsidRPr="006C150C">
              <w:rPr>
                <w:sz w:val="16"/>
                <w:szCs w:val="16"/>
              </w:rPr>
              <w:br/>
              <w:t xml:space="preserve">2) ÚNID z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Prohlídkové okruhy v Prostějově.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484 951,00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484 951,00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33 000,00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517 951,00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517 951,00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45/2014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18.9.2014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ÚNID z MZČR - Odborný lesní hospodář za </w:t>
            </w:r>
            <w:proofErr w:type="gramStart"/>
            <w:r w:rsidRPr="006C150C">
              <w:rPr>
                <w:sz w:val="16"/>
                <w:szCs w:val="16"/>
              </w:rPr>
              <w:t>II.Q.2014</w:t>
            </w:r>
            <w:proofErr w:type="gramEnd"/>
            <w:r w:rsidRPr="006C150C">
              <w:rPr>
                <w:sz w:val="16"/>
                <w:szCs w:val="16"/>
              </w:rPr>
              <w:t>;</w:t>
            </w:r>
            <w:r w:rsidRPr="006C150C">
              <w:rPr>
                <w:sz w:val="16"/>
                <w:szCs w:val="16"/>
              </w:rPr>
              <w:br/>
              <w:t>2) ÚNID z ÚP - Aktivní politika zaměstnanosti.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95 749,00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95 749,00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14 400,00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110 149,00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110 149,00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46/2014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25.9.2014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ÚID z MVČR - Projekt </w:t>
            </w:r>
            <w:proofErr w:type="spellStart"/>
            <w:r w:rsidRPr="006C150C">
              <w:rPr>
                <w:sz w:val="16"/>
                <w:szCs w:val="16"/>
              </w:rPr>
              <w:t>PCOv</w:t>
            </w:r>
            <w:proofErr w:type="spellEnd"/>
            <w:r w:rsidRPr="006C150C">
              <w:rPr>
                <w:sz w:val="16"/>
                <w:szCs w:val="16"/>
              </w:rPr>
              <w:t>;</w:t>
            </w:r>
            <w:r w:rsidRPr="006C150C">
              <w:rPr>
                <w:sz w:val="16"/>
                <w:szCs w:val="16"/>
              </w:rPr>
              <w:br/>
              <w:t>2) Rozdělení dotace na LZZ.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144 000,00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-365 502,94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365 502,94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144 000,00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144 000,00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49/2014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6.10.2014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LZZ;</w:t>
            </w:r>
            <w:r w:rsidRPr="006C150C">
              <w:rPr>
                <w:sz w:val="16"/>
                <w:szCs w:val="16"/>
              </w:rPr>
              <w:br/>
              <w:t>2) Volby do EP;</w:t>
            </w:r>
            <w:r w:rsidRPr="006C150C">
              <w:rPr>
                <w:sz w:val="16"/>
                <w:szCs w:val="16"/>
              </w:rPr>
              <w:br/>
              <w:t>3) Volby do Senátu PČR a ZO.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-15 124,94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15 124,94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83 300,64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-83 300,64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1 076 000,00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1 076 000,00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1 076 000,00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1 076 000,00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51/2014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21.10.2014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ÚNID z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regionální funkce MK </w:t>
            </w:r>
            <w:proofErr w:type="spellStart"/>
            <w:r w:rsidRPr="006C150C">
              <w:rPr>
                <w:sz w:val="16"/>
                <w:szCs w:val="16"/>
              </w:rPr>
              <w:t>Pv</w:t>
            </w:r>
            <w:proofErr w:type="spellEnd"/>
            <w:r w:rsidRPr="006C150C">
              <w:rPr>
                <w:sz w:val="16"/>
                <w:szCs w:val="16"/>
              </w:rPr>
              <w:t xml:space="preserve"> na </w:t>
            </w:r>
            <w:proofErr w:type="gramStart"/>
            <w:r w:rsidRPr="006C150C">
              <w:rPr>
                <w:sz w:val="16"/>
                <w:szCs w:val="16"/>
              </w:rPr>
              <w:t>IV.Q.2014</w:t>
            </w:r>
            <w:proofErr w:type="gramEnd"/>
            <w:r w:rsidRPr="006C150C">
              <w:rPr>
                <w:sz w:val="16"/>
                <w:szCs w:val="16"/>
              </w:rPr>
              <w:t>;</w:t>
            </w:r>
            <w:r w:rsidRPr="006C150C">
              <w:rPr>
                <w:sz w:val="16"/>
                <w:szCs w:val="16"/>
              </w:rPr>
              <w:br/>
              <w:t>2) ÚNID z MKČR - Program regenerace MPR a MPZ;</w:t>
            </w:r>
            <w:r w:rsidRPr="006C150C">
              <w:rPr>
                <w:sz w:val="16"/>
                <w:szCs w:val="16"/>
              </w:rPr>
              <w:br/>
              <w:t>3) Rozdělení části dotace na výkon SPOD na rok 2014.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384 350,00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384 350,00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400 000,00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-1 505 000,00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1 505 000,00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784 350,00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784 350,00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53/2014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30.10.2014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ÚNID z MVČR - JSDH na rok 2014;</w:t>
            </w:r>
            <w:r w:rsidRPr="006C150C">
              <w:rPr>
                <w:sz w:val="16"/>
                <w:szCs w:val="16"/>
              </w:rPr>
              <w:br/>
              <w:t>2) ÚID z MVČR - Přenosové soupravy pro mobilní kamery.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30 000,00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78 000,00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108 000,00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54/2014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20.11.2014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Úprava dotace na volby do Senátu a ZO;</w:t>
            </w:r>
            <w:r w:rsidRPr="006C150C">
              <w:rPr>
                <w:sz w:val="16"/>
                <w:szCs w:val="16"/>
              </w:rPr>
              <w:br/>
              <w:t xml:space="preserve">2) ÚNID z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slavnostní koncert MF Ol v rámci oslav svátku </w:t>
            </w:r>
            <w:proofErr w:type="gramStart"/>
            <w:r w:rsidRPr="006C150C">
              <w:rPr>
                <w:sz w:val="16"/>
                <w:szCs w:val="16"/>
              </w:rPr>
              <w:t>28.10</w:t>
            </w:r>
            <w:proofErr w:type="gramEnd"/>
            <w:r w:rsidRPr="006C150C">
              <w:rPr>
                <w:sz w:val="16"/>
                <w:szCs w:val="16"/>
              </w:rPr>
              <w:t>.;</w:t>
            </w:r>
            <w:r w:rsidRPr="006C150C">
              <w:rPr>
                <w:sz w:val="16"/>
                <w:szCs w:val="16"/>
              </w:rPr>
              <w:br/>
            </w:r>
            <w:r w:rsidRPr="006C150C">
              <w:rPr>
                <w:sz w:val="16"/>
                <w:szCs w:val="16"/>
              </w:rPr>
              <w:lastRenderedPageBreak/>
              <w:t xml:space="preserve">3) ÚNID z MZ ČR - meliorační a zpevňující dřeviny - 1. </w:t>
            </w:r>
            <w:proofErr w:type="spellStart"/>
            <w:r w:rsidRPr="006C150C">
              <w:rPr>
                <w:sz w:val="16"/>
                <w:szCs w:val="16"/>
              </w:rPr>
              <w:t>pol</w:t>
            </w:r>
            <w:proofErr w:type="spellEnd"/>
            <w:r w:rsidRPr="006C150C">
              <w:rPr>
                <w:sz w:val="16"/>
                <w:szCs w:val="16"/>
              </w:rPr>
              <w:t xml:space="preserve"> 2014.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2 228,60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-2 228,60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180 000,00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32 000,00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212 000,00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212 000,00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lastRenderedPageBreak/>
              <w:t>56/2014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1.12.2014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ÚNID z MZČR - odborný lesní hospodář - </w:t>
            </w:r>
            <w:proofErr w:type="gramStart"/>
            <w:r w:rsidRPr="006C150C">
              <w:rPr>
                <w:sz w:val="16"/>
                <w:szCs w:val="16"/>
              </w:rPr>
              <w:t>III.Q.2014</w:t>
            </w:r>
            <w:proofErr w:type="gramEnd"/>
            <w:r w:rsidRPr="006C150C">
              <w:rPr>
                <w:sz w:val="16"/>
                <w:szCs w:val="16"/>
              </w:rPr>
              <w:t>;</w:t>
            </w:r>
            <w:r w:rsidRPr="006C150C">
              <w:rPr>
                <w:sz w:val="16"/>
                <w:szCs w:val="16"/>
              </w:rPr>
              <w:br/>
              <w:t>2) ÚNID z ÚPČR - výkon pěstounské péče.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96 982,00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96 982,00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64 000,00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160 982,00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160 982,00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57/2014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1.12.2014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Rozdělení dotace s ÚZ 13010 - pěstounská péče;</w:t>
            </w:r>
            <w:r w:rsidRPr="006C150C">
              <w:rPr>
                <w:sz w:val="16"/>
                <w:szCs w:val="16"/>
              </w:rPr>
              <w:br/>
              <w:t>2) Rozdělení dotace s ÚZ 13011 - SPOD.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-734 446,00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723 528,00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10 918,00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-2 025 379,00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1 909 848,00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84 105,00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31 426,00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59/2014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9.12.2014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Rozdělení dotace na volby do ZO dle vyúčtování;</w:t>
            </w:r>
            <w:r w:rsidRPr="006C150C">
              <w:rPr>
                <w:sz w:val="16"/>
                <w:szCs w:val="16"/>
              </w:rPr>
              <w:br/>
              <w:t>2) Rozdělení části dotace na výkon pěstounské péče;</w:t>
            </w:r>
            <w:r w:rsidRPr="006C150C">
              <w:rPr>
                <w:sz w:val="16"/>
                <w:szCs w:val="16"/>
              </w:rPr>
              <w:br/>
              <w:t>3) ÚID - EÚO MŠ Květná;</w:t>
            </w:r>
            <w:r w:rsidRPr="006C150C">
              <w:rPr>
                <w:sz w:val="16"/>
                <w:szCs w:val="16"/>
              </w:rPr>
              <w:br/>
              <w:t xml:space="preserve">4) ÚID - EÚO MŠ </w:t>
            </w:r>
            <w:proofErr w:type="spellStart"/>
            <w:r w:rsidRPr="006C150C">
              <w:rPr>
                <w:sz w:val="16"/>
                <w:szCs w:val="16"/>
              </w:rPr>
              <w:t>Libušinka</w:t>
            </w:r>
            <w:proofErr w:type="spellEnd"/>
            <w:r w:rsidRPr="006C150C">
              <w:rPr>
                <w:sz w:val="16"/>
                <w:szCs w:val="16"/>
              </w:rPr>
              <w:t>;</w:t>
            </w:r>
            <w:r w:rsidRPr="006C150C">
              <w:rPr>
                <w:sz w:val="16"/>
                <w:szCs w:val="16"/>
              </w:rPr>
              <w:br/>
              <w:t>5) ÚID - EÚO ZŠ Dr. Horáka;</w:t>
            </w:r>
            <w:r w:rsidRPr="006C150C">
              <w:rPr>
                <w:sz w:val="16"/>
                <w:szCs w:val="16"/>
              </w:rPr>
              <w:br/>
              <w:t>6) ÚID - Rozšíření botanické zahrady.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-1 076 000,00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1 076 000,00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-3 765,00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3 765,00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1 202 476,98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1 202 476,98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1 473 302,70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1 473 302,70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4)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13 993 506,90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13 993 506,90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5)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731 725,95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596 906,25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6)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134 819,70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6)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17 401 012,53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17 401 012,53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15.12.2014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Vratka části dotace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-20 105,00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-20 105,00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-20 105,00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-20 105,00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61/2014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17.12.2014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ÚNID z </w:t>
            </w:r>
            <w:proofErr w:type="spellStart"/>
            <w:r w:rsidRPr="006C150C">
              <w:rPr>
                <w:sz w:val="16"/>
                <w:szCs w:val="16"/>
              </w:rPr>
              <w:t>OlK</w:t>
            </w:r>
            <w:proofErr w:type="spellEnd"/>
            <w:r w:rsidRPr="006C150C">
              <w:rPr>
                <w:sz w:val="16"/>
                <w:szCs w:val="16"/>
              </w:rPr>
              <w:t xml:space="preserve"> - ZŠ </w:t>
            </w:r>
            <w:proofErr w:type="spellStart"/>
            <w:r w:rsidRPr="006C150C">
              <w:rPr>
                <w:sz w:val="16"/>
                <w:szCs w:val="16"/>
              </w:rPr>
              <w:t>Pv</w:t>
            </w:r>
            <w:proofErr w:type="spellEnd"/>
            <w:r w:rsidRPr="006C150C">
              <w:rPr>
                <w:sz w:val="16"/>
                <w:szCs w:val="16"/>
              </w:rPr>
              <w:t>, ul. E. Valenty 52 - podpora environmentálního vzdělávání;</w:t>
            </w:r>
            <w:r w:rsidRPr="006C150C">
              <w:rPr>
                <w:sz w:val="16"/>
                <w:szCs w:val="16"/>
              </w:rPr>
              <w:br/>
              <w:t>2) ÚNID z ERDF a SFŽP - Realizace aleje podél ul. Kralická;</w:t>
            </w:r>
            <w:r w:rsidRPr="006C150C">
              <w:rPr>
                <w:sz w:val="16"/>
                <w:szCs w:val="16"/>
              </w:rPr>
              <w:br/>
              <w:t xml:space="preserve">3) ÚID z FS a SFŽP - Studie </w:t>
            </w:r>
            <w:proofErr w:type="gramStart"/>
            <w:r w:rsidRPr="006C150C">
              <w:rPr>
                <w:sz w:val="16"/>
                <w:szCs w:val="16"/>
              </w:rPr>
              <w:t xml:space="preserve">proveditelnosti k </w:t>
            </w:r>
            <w:proofErr w:type="spellStart"/>
            <w:r w:rsidRPr="006C150C">
              <w:rPr>
                <w:sz w:val="16"/>
                <w:szCs w:val="16"/>
              </w:rPr>
              <w:t>real</w:t>
            </w:r>
            <w:proofErr w:type="spellEnd"/>
            <w:r w:rsidRPr="006C150C">
              <w:rPr>
                <w:sz w:val="16"/>
                <w:szCs w:val="16"/>
              </w:rPr>
              <w:t>. přírodě</w:t>
            </w:r>
            <w:proofErr w:type="gramEnd"/>
            <w:r w:rsidRPr="006C150C">
              <w:rPr>
                <w:sz w:val="16"/>
                <w:szCs w:val="16"/>
              </w:rPr>
              <w:t xml:space="preserve"> blízkých </w:t>
            </w:r>
            <w:proofErr w:type="spellStart"/>
            <w:r w:rsidRPr="006C150C">
              <w:rPr>
                <w:sz w:val="16"/>
                <w:szCs w:val="16"/>
              </w:rPr>
              <w:t>protipovod</w:t>
            </w:r>
            <w:proofErr w:type="spellEnd"/>
            <w:r w:rsidRPr="006C150C">
              <w:rPr>
                <w:sz w:val="16"/>
                <w:szCs w:val="16"/>
              </w:rPr>
              <w:t xml:space="preserve">. opatření pro ochranu města </w:t>
            </w:r>
            <w:proofErr w:type="spellStart"/>
            <w:r w:rsidRPr="006C150C">
              <w:rPr>
                <w:sz w:val="16"/>
                <w:szCs w:val="16"/>
              </w:rPr>
              <w:t>Pv</w:t>
            </w:r>
            <w:proofErr w:type="spellEnd"/>
            <w:r w:rsidRPr="006C150C">
              <w:rPr>
                <w:sz w:val="16"/>
                <w:szCs w:val="16"/>
              </w:rPr>
              <w:t>;</w:t>
            </w:r>
            <w:r w:rsidRPr="006C150C">
              <w:rPr>
                <w:sz w:val="16"/>
                <w:szCs w:val="16"/>
              </w:rPr>
              <w:br/>
              <w:t>4) ÚID z FS a SFŽP - EÚO MŠ J. Železného;</w:t>
            </w:r>
            <w:r w:rsidRPr="006C150C">
              <w:rPr>
                <w:sz w:val="16"/>
                <w:szCs w:val="16"/>
              </w:rPr>
              <w:br/>
              <w:t>5) ÚID z ERDF a SFŽP - Úpravy mlýnského náhonu;</w:t>
            </w:r>
            <w:r w:rsidRPr="006C150C">
              <w:rPr>
                <w:sz w:val="16"/>
                <w:szCs w:val="16"/>
              </w:rPr>
              <w:br/>
              <w:t>6) ÚNID z ERDF a SFŽP - Revitalizace školních zahrad.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102 509,48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102 509,48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914 760,00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914 760,00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7 114 469,62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7 114 469,62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4)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2 145 677,84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2 132 897,84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5)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12 780,00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5)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679 527,73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647 035,48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6)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32 492,25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6)</w:t>
            </w:r>
          </w:p>
        </w:tc>
      </w:tr>
      <w:tr w:rsidR="006C150C" w:rsidRPr="006C150C" w:rsidTr="006C150C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10 959 944,67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10 959 944,67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64/2014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19.12.2014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ÚNID z MVČR - JSDH - věcné vybavení a zásah.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5 100,00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66/2014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2.1.2015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1)ÚNID z ÚP - Aktivní politika zaměstnanosti.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821 281,00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821 281,00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821 281,00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821 281,00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68/2014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7.1.2015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Vratka části dotace na SPOD;</w:t>
            </w:r>
            <w:r w:rsidRPr="006C150C">
              <w:rPr>
                <w:sz w:val="16"/>
                <w:szCs w:val="16"/>
              </w:rPr>
              <w:br/>
              <w:t xml:space="preserve">2) ÚNID z FS, SFŽP - Rozšíření systému pro separaci bioodpadů ve městě </w:t>
            </w:r>
            <w:proofErr w:type="spellStart"/>
            <w:r w:rsidRPr="006C150C">
              <w:rPr>
                <w:sz w:val="16"/>
                <w:szCs w:val="16"/>
              </w:rPr>
              <w:t>Pv</w:t>
            </w:r>
            <w:proofErr w:type="spellEnd"/>
            <w:r w:rsidRPr="006C150C">
              <w:rPr>
                <w:sz w:val="16"/>
                <w:szCs w:val="16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-1 480 420,00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-1 480 420,00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376 357,59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376 357,59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-1 104 062,41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-1 104 062,41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69/2014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12.1.2015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 xml:space="preserve">1) ÚID z ROP - Rekonstrukce učeben pro výuku přírodověd. </w:t>
            </w:r>
            <w:proofErr w:type="gramStart"/>
            <w:r w:rsidRPr="006C150C">
              <w:rPr>
                <w:sz w:val="16"/>
                <w:szCs w:val="16"/>
              </w:rPr>
              <w:t>předmětů</w:t>
            </w:r>
            <w:proofErr w:type="gramEnd"/>
            <w:r w:rsidRPr="006C150C">
              <w:rPr>
                <w:sz w:val="16"/>
                <w:szCs w:val="16"/>
              </w:rPr>
              <w:t xml:space="preserve"> na PV ZŠ, Na kole biokoridorem Hloučela v </w:t>
            </w:r>
            <w:proofErr w:type="spellStart"/>
            <w:r w:rsidRPr="006C150C">
              <w:rPr>
                <w:sz w:val="16"/>
                <w:szCs w:val="16"/>
              </w:rPr>
              <w:t>Pv</w:t>
            </w:r>
            <w:proofErr w:type="spellEnd"/>
            <w:r w:rsidRPr="006C150C">
              <w:rPr>
                <w:sz w:val="16"/>
                <w:szCs w:val="16"/>
              </w:rPr>
              <w:t>;</w:t>
            </w:r>
            <w:r w:rsidRPr="006C150C">
              <w:rPr>
                <w:sz w:val="16"/>
                <w:szCs w:val="16"/>
              </w:rPr>
              <w:br/>
              <w:t>2) Úprava dotace na EÚO ZŠ Dr. Horáka.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3 476 337,25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3 476 337,25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170 655,30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-170 655,30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3 476 337,25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3 476 337,25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14.1.2015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ÚNID z MVČR - OP LZZ.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355 169,32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355 169,32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355 169,32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355 169,32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71/2014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proofErr w:type="gramStart"/>
            <w:r w:rsidRPr="006C150C">
              <w:rPr>
                <w:sz w:val="16"/>
                <w:szCs w:val="16"/>
              </w:rPr>
              <w:t>15.1.2015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1) Doplnění a úprava dotace na PP;</w:t>
            </w:r>
            <w:r w:rsidRPr="006C150C">
              <w:rPr>
                <w:sz w:val="16"/>
                <w:szCs w:val="16"/>
              </w:rPr>
              <w:br/>
              <w:t xml:space="preserve">2) Úprava dotace </w:t>
            </w:r>
            <w:proofErr w:type="gramStart"/>
            <w:r w:rsidRPr="006C150C">
              <w:rPr>
                <w:sz w:val="16"/>
                <w:szCs w:val="16"/>
              </w:rPr>
              <w:t>SPOD</w:t>
            </w:r>
            <w:proofErr w:type="gramEnd"/>
            <w:r w:rsidRPr="006C150C">
              <w:rPr>
                <w:sz w:val="16"/>
                <w:szCs w:val="16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-8 000,00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-10 187,00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2 187,00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-302,00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sz w:val="16"/>
                <w:szCs w:val="16"/>
              </w:rPr>
            </w:pPr>
            <w:r w:rsidRPr="006C150C">
              <w:rPr>
                <w:sz w:val="16"/>
                <w:szCs w:val="16"/>
              </w:rPr>
              <w:t>302,00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6C150C" w:rsidRPr="006C150C" w:rsidTr="006C150C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0C" w:rsidRPr="006C150C" w:rsidRDefault="006C150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-8 000,00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-8 000,00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C150C" w:rsidRPr="006C150C" w:rsidTr="006C150C">
        <w:trPr>
          <w:trHeight w:val="180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Celkem ROZOP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52 735 452,27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6C150C" w:rsidRPr="006C150C" w:rsidRDefault="006C150C">
            <w:pPr>
              <w:jc w:val="center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C150C" w:rsidRPr="006C150C" w:rsidRDefault="006C150C">
            <w:pPr>
              <w:jc w:val="right"/>
              <w:rPr>
                <w:b/>
                <w:bCs/>
                <w:sz w:val="16"/>
                <w:szCs w:val="16"/>
              </w:rPr>
            </w:pPr>
            <w:r w:rsidRPr="006C150C">
              <w:rPr>
                <w:b/>
                <w:bCs/>
                <w:sz w:val="16"/>
                <w:szCs w:val="16"/>
              </w:rPr>
              <w:t>52 735 452,27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150C" w:rsidRPr="006C150C" w:rsidRDefault="006C150C">
            <w:pPr>
              <w:jc w:val="center"/>
              <w:rPr>
                <w:color w:val="000000"/>
                <w:sz w:val="16"/>
                <w:szCs w:val="16"/>
              </w:rPr>
            </w:pPr>
            <w:r w:rsidRPr="006C150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B57A7" w:rsidRPr="00666F88" w:rsidRDefault="000B57A7" w:rsidP="00D92EEC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35552E" w:rsidRPr="00666F88" w:rsidRDefault="0035552E" w:rsidP="00D92EEC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C56E81" w:rsidRPr="002A156C" w:rsidRDefault="00C56E81" w:rsidP="002A156C">
      <w:pPr>
        <w:rPr>
          <w:b/>
          <w:sz w:val="24"/>
          <w:szCs w:val="24"/>
          <w:u w:val="single"/>
        </w:rPr>
      </w:pPr>
      <w:r w:rsidRPr="002A156C">
        <w:rPr>
          <w:b/>
          <w:sz w:val="24"/>
          <w:szCs w:val="24"/>
          <w:u w:val="single"/>
          <w:shd w:val="clear" w:color="auto" w:fill="FFC000"/>
        </w:rPr>
        <w:lastRenderedPageBreak/>
        <w:t xml:space="preserve">Přehled o realizaci ROZOP jednotlivými kapitolami v roce </w:t>
      </w:r>
      <w:r w:rsidR="00754258" w:rsidRPr="002A156C">
        <w:rPr>
          <w:b/>
          <w:sz w:val="24"/>
          <w:szCs w:val="24"/>
          <w:u w:val="single"/>
          <w:shd w:val="clear" w:color="auto" w:fill="FFC000"/>
        </w:rPr>
        <w:t>201</w:t>
      </w:r>
      <w:r w:rsidR="007959C7" w:rsidRPr="002A156C">
        <w:rPr>
          <w:b/>
          <w:sz w:val="24"/>
          <w:szCs w:val="24"/>
          <w:u w:val="single"/>
          <w:shd w:val="clear" w:color="auto" w:fill="FFC000"/>
        </w:rPr>
        <w:t>4</w:t>
      </w:r>
    </w:p>
    <w:p w:rsidR="00D92EEC" w:rsidRPr="00666F88" w:rsidRDefault="00D92EEC" w:rsidP="00D92EEC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2374B9" w:rsidRPr="00666F88" w:rsidTr="00F167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C56E81" w:rsidRPr="00666F88" w:rsidRDefault="00C56E81" w:rsidP="00C56E81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sz w:val="16"/>
                <w:szCs w:val="16"/>
              </w:rPr>
              <w:t>Kapitola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C56E81" w:rsidRPr="00666F88" w:rsidRDefault="00C56E81" w:rsidP="00C56E81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sz w:val="16"/>
                <w:szCs w:val="16"/>
              </w:rPr>
              <w:t>Komentář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E4" w:rsidRPr="00666F88" w:rsidRDefault="000066E4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E4" w:rsidRPr="00666F88" w:rsidRDefault="000066E4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Všechna schválená ROZOP byla </w:t>
            </w:r>
            <w:r w:rsidR="00754258"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43" w:rsidRPr="00666F88" w:rsidRDefault="00DD0943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43" w:rsidRPr="00666F88" w:rsidRDefault="00DD0943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2702D1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2702D1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702D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2702D1" w:rsidRDefault="002702D1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702D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ROZOP č. 55/2014 města pro rok 2014 na základě schváleného usnesení 1. RMP dne </w:t>
            </w:r>
            <w:proofErr w:type="gramStart"/>
            <w:r w:rsidRPr="002702D1">
              <w:rPr>
                <w:rFonts w:ascii="Times New Roman" w:hAnsi="Times New Roman" w:cs="Times New Roman"/>
                <w:b w:val="0"/>
                <w:sz w:val="16"/>
                <w:szCs w:val="16"/>
              </w:rPr>
              <w:t>18.11.2014</w:t>
            </w:r>
            <w:proofErr w:type="gramEnd"/>
            <w:r w:rsidRPr="002702D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702D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400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2702D1">
              <w:rPr>
                <w:rFonts w:ascii="Times New Roman" w:hAnsi="Times New Roman" w:cs="Times New Roman"/>
                <w:b w:val="0"/>
                <w:sz w:val="16"/>
                <w:szCs w:val="16"/>
              </w:rPr>
              <w:t>000 Kč – nerealizováno z důvodu časové náročnosti Microsoft v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 </w:t>
            </w:r>
            <w:r w:rsidRPr="002702D1">
              <w:rPr>
                <w:rFonts w:ascii="Times New Roman" w:hAnsi="Times New Roman" w:cs="Times New Roman"/>
                <w:b w:val="0"/>
                <w:sz w:val="16"/>
                <w:szCs w:val="16"/>
              </w:rPr>
              <w:t>Irsku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2702D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EC353E" w:rsidRPr="002702D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Všechna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ostatní </w:t>
            </w:r>
            <w:r w:rsidR="00EC353E" w:rsidRPr="002702D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schválená ROZOP byla realizovaná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D0943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Kapitola v roce 201</w:t>
            </w:r>
            <w:r w:rsidR="00802B2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</w:t>
            </w: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rozpočtová opatření neprováděla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3EF" w:rsidRPr="00666F88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CD7E4A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CD7E4A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0943" w:rsidRPr="00666F88" w:rsidRDefault="00DD0943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43" w:rsidRPr="00666F88" w:rsidRDefault="00DD0943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81" w:rsidRPr="00666F88" w:rsidRDefault="00C56E81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81" w:rsidRPr="00F83D46" w:rsidRDefault="00F83D46" w:rsidP="00DE2010">
            <w:pPr>
              <w:rPr>
                <w:sz w:val="16"/>
                <w:szCs w:val="16"/>
              </w:rPr>
            </w:pPr>
            <w:r w:rsidRPr="00F83D46">
              <w:rPr>
                <w:sz w:val="16"/>
                <w:szCs w:val="16"/>
              </w:rPr>
              <w:t>Rozpočtová opatření, která byla schválená v průběhu celého roku 2014 na schůzích Rady města Prostějova a zasedáních Zastupitelstva města Prostějova, byla realizována v průběhu pololetí i celého roku. Šlo většinou o doplnění finančních prostředků na základě proběhlých výběrových řízení. Tento postup se jeví jako efektivnější, než aby částky ve schváleném rozpočtu byly příliš vysoké a docházelo tak k vyvázání finančních prostředků. Jedná se také o doplnění finančních prostředků v případě akcí, kde byla přidělena dotace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2C" w:rsidRPr="00666F88" w:rsidRDefault="004F722C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2C" w:rsidRPr="00666F88" w:rsidRDefault="004F722C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2C" w:rsidRPr="00666F88" w:rsidRDefault="004F722C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2C" w:rsidRPr="00666F88" w:rsidRDefault="004F722C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2C" w:rsidRPr="00666F88" w:rsidRDefault="004F722C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2C" w:rsidRPr="00666F88" w:rsidRDefault="004F722C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40" w:rsidRPr="00666F88" w:rsidRDefault="00914740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40" w:rsidRPr="00666F88" w:rsidRDefault="004F722C" w:rsidP="00DE2010">
            <w:pPr>
              <w:pStyle w:val="Zkladntext3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</w:p>
        </w:tc>
      </w:tr>
    </w:tbl>
    <w:p w:rsidR="00C56E81" w:rsidRPr="00666F88" w:rsidRDefault="00C56E81" w:rsidP="00C56E81">
      <w:pPr>
        <w:pStyle w:val="Zkladntext3"/>
        <w:shd w:val="clear" w:color="auto" w:fill="auto"/>
        <w:jc w:val="left"/>
        <w:rPr>
          <w:rFonts w:ascii="Times New Roman" w:hAnsi="Times New Roman" w:cs="Times New Roman"/>
          <w:sz w:val="16"/>
          <w:szCs w:val="16"/>
          <w:u w:val="single"/>
        </w:rPr>
      </w:pPr>
    </w:p>
    <w:p w:rsidR="00446526" w:rsidRPr="00815C1A" w:rsidRDefault="00446526" w:rsidP="00C56E81">
      <w:pPr>
        <w:pStyle w:val="Zkladntext3"/>
        <w:shd w:val="clear" w:color="auto" w:fill="auto"/>
        <w:jc w:val="left"/>
        <w:rPr>
          <w:rFonts w:ascii="Times New Roman" w:hAnsi="Times New Roman" w:cs="Times New Roman"/>
          <w:b w:val="0"/>
          <w:i/>
          <w:sz w:val="16"/>
          <w:szCs w:val="16"/>
        </w:rPr>
      </w:pPr>
      <w:r w:rsidRPr="00815C1A">
        <w:rPr>
          <w:rFonts w:ascii="Times New Roman" w:hAnsi="Times New Roman" w:cs="Times New Roman"/>
          <w:b w:val="0"/>
          <w:i/>
          <w:sz w:val="16"/>
          <w:szCs w:val="16"/>
        </w:rPr>
        <w:t>Poznámka:</w:t>
      </w:r>
    </w:p>
    <w:p w:rsidR="006B584B" w:rsidRPr="00815C1A" w:rsidRDefault="006B584B" w:rsidP="00C56E81">
      <w:pPr>
        <w:pStyle w:val="Zkladntext3"/>
        <w:shd w:val="clear" w:color="auto" w:fill="auto"/>
        <w:jc w:val="left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2B774D" w:rsidRPr="00815C1A" w:rsidRDefault="00C56E81" w:rsidP="00F83D46">
      <w:pPr>
        <w:rPr>
          <w:i/>
        </w:rPr>
      </w:pPr>
      <w:r w:rsidRPr="00815C1A">
        <w:rPr>
          <w:i/>
        </w:rPr>
        <w:t xml:space="preserve">Všechna ROZOP jsou po zpracování uložena na Finančním odboru </w:t>
      </w:r>
      <w:proofErr w:type="spellStart"/>
      <w:r w:rsidR="00383B08" w:rsidRPr="00815C1A">
        <w:rPr>
          <w:i/>
        </w:rPr>
        <w:t>MMPv</w:t>
      </w:r>
      <w:proofErr w:type="spellEnd"/>
      <w:r w:rsidRPr="00815C1A">
        <w:rPr>
          <w:i/>
        </w:rPr>
        <w:t>.</w:t>
      </w:r>
    </w:p>
    <w:p w:rsidR="00546E7D" w:rsidRPr="00666F88" w:rsidRDefault="00546E7D" w:rsidP="001A2908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546E7D" w:rsidRPr="00666F88" w:rsidRDefault="00546E7D" w:rsidP="001A2908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1A2908" w:rsidRPr="002A156C" w:rsidRDefault="001A2908" w:rsidP="002A156C">
      <w:pPr>
        <w:rPr>
          <w:b/>
          <w:sz w:val="24"/>
          <w:szCs w:val="24"/>
          <w:u w:val="single"/>
        </w:rPr>
      </w:pPr>
      <w:r w:rsidRPr="002A156C">
        <w:rPr>
          <w:b/>
          <w:sz w:val="24"/>
          <w:szCs w:val="24"/>
          <w:u w:val="single"/>
          <w:shd w:val="clear" w:color="auto" w:fill="FFC000"/>
        </w:rPr>
        <w:t xml:space="preserve">Finanční zdroje města Prostějova k </w:t>
      </w:r>
      <w:proofErr w:type="gramStart"/>
      <w:r w:rsidRPr="002A156C">
        <w:rPr>
          <w:b/>
          <w:sz w:val="24"/>
          <w:szCs w:val="24"/>
          <w:u w:val="single"/>
          <w:shd w:val="clear" w:color="auto" w:fill="FFC000"/>
        </w:rPr>
        <w:t>31.12.20</w:t>
      </w:r>
      <w:r w:rsidR="00095E53" w:rsidRPr="002A156C">
        <w:rPr>
          <w:b/>
          <w:sz w:val="24"/>
          <w:szCs w:val="24"/>
          <w:u w:val="single"/>
          <w:shd w:val="clear" w:color="auto" w:fill="FFC000"/>
        </w:rPr>
        <w:t>1</w:t>
      </w:r>
      <w:r w:rsidR="00F83D46" w:rsidRPr="002A156C">
        <w:rPr>
          <w:b/>
          <w:sz w:val="24"/>
          <w:szCs w:val="24"/>
          <w:u w:val="single"/>
          <w:shd w:val="clear" w:color="auto" w:fill="FFC000"/>
        </w:rPr>
        <w:t>4</w:t>
      </w:r>
      <w:proofErr w:type="gramEnd"/>
    </w:p>
    <w:p w:rsidR="005516FB" w:rsidRDefault="005516FB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516FB" w:rsidRDefault="0045292E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Cs w:val="0"/>
          <w:sz w:val="20"/>
          <w:szCs w:val="20"/>
          <w:u w:val="single"/>
        </w:rPr>
      </w:pPr>
      <w:r w:rsidRPr="0045292E">
        <w:rPr>
          <w:rFonts w:ascii="Times New Roman" w:hAnsi="Times New Roman" w:cs="Times New Roman"/>
          <w:bCs w:val="0"/>
          <w:sz w:val="20"/>
          <w:szCs w:val="20"/>
          <w:u w:val="single"/>
        </w:rPr>
        <w:t>Stav účtů peněžních prostředků a peněžních ekvivalentů statutárního města Prostějova k </w:t>
      </w:r>
      <w:proofErr w:type="gramStart"/>
      <w:r w:rsidRPr="0045292E">
        <w:rPr>
          <w:rFonts w:ascii="Times New Roman" w:hAnsi="Times New Roman" w:cs="Times New Roman"/>
          <w:bCs w:val="0"/>
          <w:sz w:val="20"/>
          <w:szCs w:val="20"/>
          <w:u w:val="single"/>
        </w:rPr>
        <w:t>31.12.2014</w:t>
      </w:r>
      <w:proofErr w:type="gramEnd"/>
    </w:p>
    <w:p w:rsidR="0045292E" w:rsidRDefault="0045292E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Cs w:val="0"/>
          <w:sz w:val="20"/>
          <w:szCs w:val="20"/>
          <w:u w:val="single"/>
        </w:rPr>
      </w:pPr>
    </w:p>
    <w:p w:rsidR="0045292E" w:rsidRPr="0045292E" w:rsidRDefault="0045292E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Cs w:val="0"/>
          <w:sz w:val="20"/>
          <w:szCs w:val="20"/>
          <w:u w:val="single"/>
        </w:rPr>
        <w:t>Peněžní prostředky:</w:t>
      </w:r>
    </w:p>
    <w:p w:rsidR="00D71B96" w:rsidRDefault="00D71B96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984"/>
        <w:gridCol w:w="1985"/>
      </w:tblGrid>
      <w:tr w:rsidR="005516FB" w:rsidRPr="005516FB" w:rsidTr="002F0D33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6FB" w:rsidRPr="002F0D33" w:rsidRDefault="005516FB" w:rsidP="005516FB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2F0D3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Účet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6FB" w:rsidRPr="002F0D33" w:rsidRDefault="005516FB" w:rsidP="005516FB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2F0D3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Stav k </w:t>
            </w:r>
            <w:proofErr w:type="gramStart"/>
            <w:r w:rsidRPr="002F0D3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1.1.2014</w:t>
            </w:r>
            <w:proofErr w:type="gramEnd"/>
            <w:r w:rsidRPr="002F0D3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6FB" w:rsidRPr="002F0D33" w:rsidRDefault="005516FB" w:rsidP="005516FB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2F0D3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Stav k </w:t>
            </w:r>
            <w:proofErr w:type="gramStart"/>
            <w:r w:rsidRPr="002F0D3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31.12.2014</w:t>
            </w:r>
            <w:proofErr w:type="gramEnd"/>
            <w:r w:rsidRPr="002F0D3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16FB" w:rsidRPr="002F0D33" w:rsidRDefault="005516FB" w:rsidP="005516FB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2F0D3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Obrat v Kč</w:t>
            </w:r>
          </w:p>
        </w:tc>
      </w:tr>
      <w:tr w:rsidR="005516FB" w:rsidRPr="005516FB" w:rsidTr="002F0D3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Základní běžný účet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113 776 279,33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168 080 902,25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54 304 622,92</w:t>
            </w:r>
          </w:p>
        </w:tc>
      </w:tr>
      <w:tr w:rsidR="005516FB" w:rsidRPr="005516FB" w:rsidTr="002F0D3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Účet fondů bez sociálního fondu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87 107 596,02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120 446 835,56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33 339 239,54</w:t>
            </w:r>
          </w:p>
        </w:tc>
      </w:tr>
      <w:tr w:rsidR="005516FB" w:rsidRPr="005516FB" w:rsidTr="002F0D3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Sociální fond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542 993,03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707 042,31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164 049,28</w:t>
            </w:r>
          </w:p>
        </w:tc>
      </w:tr>
      <w:tr w:rsidR="005516FB" w:rsidRPr="005516FB" w:rsidTr="002F0D3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Hospodářská činnost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149 528,43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-149 528,43</w:t>
            </w:r>
          </w:p>
        </w:tc>
      </w:tr>
      <w:tr w:rsidR="005516FB" w:rsidRPr="005516FB" w:rsidTr="002F0D3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Depozitní účet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30 849 180,03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17 278 288,23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</w:rPr>
            </w:pPr>
            <w:r w:rsidRPr="005516FB">
              <w:rPr>
                <w:rFonts w:ascii="Times New Roman CE" w:hAnsi="Times New Roman CE" w:cs="Times New Roman CE"/>
              </w:rPr>
              <w:t>-13 570 891,80</w:t>
            </w:r>
          </w:p>
        </w:tc>
      </w:tr>
      <w:tr w:rsidR="005516FB" w:rsidRPr="005516FB" w:rsidTr="002F0D3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</w:rPr>
            </w:pPr>
            <w:r w:rsidRPr="005516FB">
              <w:rPr>
                <w:rFonts w:ascii="Times New Roman CE" w:hAnsi="Times New Roman CE" w:cs="Times New Roman CE"/>
                <w:b/>
                <w:bCs/>
              </w:rPr>
              <w:t>Peněžní prostředky 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5516FB">
              <w:rPr>
                <w:rFonts w:ascii="Times New Roman CE" w:hAnsi="Times New Roman CE" w:cs="Times New Roman CE"/>
                <w:b/>
                <w:bCs/>
              </w:rPr>
              <w:t>232 425 576,84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5516FB">
              <w:rPr>
                <w:rFonts w:ascii="Times New Roman CE" w:hAnsi="Times New Roman CE" w:cs="Times New Roman CE"/>
                <w:b/>
                <w:bCs/>
              </w:rPr>
              <w:t>306 513 068,35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 w:rsidRPr="005516FB">
              <w:rPr>
                <w:rFonts w:ascii="Times New Roman CE" w:hAnsi="Times New Roman CE" w:cs="Times New Roman CE"/>
                <w:b/>
                <w:bCs/>
              </w:rPr>
              <w:t>74 087 491,51</w:t>
            </w:r>
          </w:p>
        </w:tc>
      </w:tr>
      <w:tr w:rsidR="005516FB" w:rsidRPr="005516FB" w:rsidTr="002F0D3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5516FB" w:rsidRDefault="005516FB" w:rsidP="005516FB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</w:tr>
      <w:tr w:rsidR="005516FB" w:rsidRPr="00815C1A" w:rsidTr="002F0D3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815C1A" w:rsidRDefault="005516FB" w:rsidP="005516FB">
            <w:pPr>
              <w:autoSpaceDE/>
              <w:autoSpaceDN/>
              <w:rPr>
                <w:rFonts w:ascii="Times New Roman CE" w:hAnsi="Times New Roman CE" w:cs="Times New Roman CE"/>
                <w:i/>
              </w:rPr>
            </w:pPr>
            <w:r w:rsidRPr="00815C1A">
              <w:rPr>
                <w:rFonts w:ascii="Times New Roman CE" w:hAnsi="Times New Roman CE" w:cs="Times New Roman CE"/>
                <w:i/>
              </w:rPr>
              <w:t>úbytek = "-"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815C1A" w:rsidRDefault="005516FB" w:rsidP="005516FB">
            <w:pPr>
              <w:autoSpaceDE/>
              <w:autoSpaceDN/>
              <w:rPr>
                <w:rFonts w:ascii="Arial CE" w:hAnsi="Arial CE" w:cs="Arial CE"/>
                <w:i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815C1A" w:rsidRDefault="005516FB" w:rsidP="005516FB">
            <w:pPr>
              <w:autoSpaceDE/>
              <w:autoSpaceDN/>
              <w:rPr>
                <w:rFonts w:ascii="Arial CE" w:hAnsi="Arial CE" w:cs="Arial CE"/>
                <w:i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815C1A" w:rsidRDefault="005516FB" w:rsidP="005516FB">
            <w:pPr>
              <w:autoSpaceDE/>
              <w:autoSpaceDN/>
              <w:rPr>
                <w:rFonts w:ascii="Arial CE" w:hAnsi="Arial CE" w:cs="Arial CE"/>
                <w:i/>
              </w:rPr>
            </w:pPr>
          </w:p>
        </w:tc>
      </w:tr>
      <w:tr w:rsidR="005516FB" w:rsidRPr="00815C1A" w:rsidTr="002F0D3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815C1A" w:rsidRDefault="005516FB" w:rsidP="005516FB">
            <w:pPr>
              <w:autoSpaceDE/>
              <w:autoSpaceDN/>
              <w:rPr>
                <w:rFonts w:ascii="Times New Roman CE" w:hAnsi="Times New Roman CE" w:cs="Times New Roman CE"/>
                <w:i/>
              </w:rPr>
            </w:pPr>
            <w:r w:rsidRPr="00815C1A">
              <w:rPr>
                <w:rFonts w:ascii="Times New Roman CE" w:hAnsi="Times New Roman CE" w:cs="Times New Roman CE"/>
                <w:i/>
              </w:rPr>
              <w:t>přírůstek = "+"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815C1A" w:rsidRDefault="005516FB" w:rsidP="005516FB">
            <w:pPr>
              <w:autoSpaceDE/>
              <w:autoSpaceDN/>
              <w:rPr>
                <w:rFonts w:ascii="Arial CE" w:hAnsi="Arial CE" w:cs="Arial CE"/>
                <w:i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815C1A" w:rsidRDefault="005516FB" w:rsidP="005516FB">
            <w:pPr>
              <w:autoSpaceDE/>
              <w:autoSpaceDN/>
              <w:rPr>
                <w:rFonts w:ascii="Arial CE" w:hAnsi="Arial CE" w:cs="Arial CE"/>
                <w:i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FB" w:rsidRPr="00815C1A" w:rsidRDefault="005516FB" w:rsidP="005516FB">
            <w:pPr>
              <w:autoSpaceDE/>
              <w:autoSpaceDN/>
              <w:rPr>
                <w:rFonts w:ascii="Arial CE" w:hAnsi="Arial CE" w:cs="Arial CE"/>
                <w:i/>
              </w:rPr>
            </w:pPr>
          </w:p>
        </w:tc>
      </w:tr>
    </w:tbl>
    <w:p w:rsidR="007B732A" w:rsidRDefault="007B732A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292E" w:rsidRPr="00815C1A" w:rsidRDefault="00D51458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815C1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Poznámka:</w:t>
      </w:r>
    </w:p>
    <w:p w:rsidR="00D51458" w:rsidRPr="00815C1A" w:rsidRDefault="00D51458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815C1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Závazek mezi základním běžným účtem a účtem fondů ve výši 4.563.348,51 Kč bude zúčtován v roce 2015 v rámci schválení závěrečného účtu.</w:t>
      </w:r>
    </w:p>
    <w:p w:rsidR="0045292E" w:rsidRDefault="0045292E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72C88" w:rsidRPr="00666F88" w:rsidRDefault="00F72C88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56E81" w:rsidRPr="00666F88" w:rsidRDefault="00C56E81" w:rsidP="0060285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Trvalé peněžní fondy města Prostějova</w:t>
      </w:r>
      <w:r w:rsidR="00D93F02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- </w:t>
      </w: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(tvorba, užití k </w:t>
      </w:r>
      <w:proofErr w:type="gramStart"/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31.12.20</w:t>
      </w:r>
      <w:r w:rsidR="005764B3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</w:t>
      </w:r>
      <w:r w:rsidR="00F83D4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4</w:t>
      </w:r>
      <w:proofErr w:type="gramEnd"/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)</w:t>
      </w:r>
    </w:p>
    <w:p w:rsidR="00C56E81" w:rsidRPr="00666F88" w:rsidRDefault="00C56E81" w:rsidP="00C56E81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5953"/>
        <w:gridCol w:w="1418"/>
      </w:tblGrid>
      <w:tr w:rsidR="00613E29" w:rsidRPr="00613E29" w:rsidTr="00613E29">
        <w:trPr>
          <w:trHeight w:val="21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Fond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Finanční operace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Částka v Kč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Fond rezerv a rozvoje</w:t>
            </w:r>
            <w:r w:rsidRPr="00613E29">
              <w:rPr>
                <w:b/>
                <w:bCs/>
                <w:sz w:val="16"/>
                <w:szCs w:val="16"/>
              </w:rPr>
              <w:br/>
              <w:t>ÚZ000000001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1.1.2014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86 822 139,43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Schválený rozpočet 2014 - schváleno 28. ZMP ze dne </w:t>
            </w:r>
            <w:proofErr w:type="gramStart"/>
            <w:r w:rsidRPr="00613E29">
              <w:rPr>
                <w:sz w:val="16"/>
                <w:szCs w:val="16"/>
              </w:rPr>
              <w:t>17.12.2013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-90 644 990,00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úprava vztahu k SR ČR; ÚNID </w:t>
            </w:r>
            <w:proofErr w:type="gramStart"/>
            <w:r w:rsidRPr="00613E29">
              <w:rPr>
                <w:sz w:val="16"/>
                <w:szCs w:val="16"/>
              </w:rPr>
              <w:t>na pěstoun</w:t>
            </w:r>
            <w:proofErr w:type="gramEnd"/>
            <w:r w:rsidRPr="00613E29">
              <w:rPr>
                <w:sz w:val="16"/>
                <w:szCs w:val="16"/>
              </w:rPr>
              <w:t xml:space="preserve">. péči z roku 2013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-2 714 323,00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29. ZMP ze dne </w:t>
            </w:r>
            <w:proofErr w:type="gramStart"/>
            <w:r w:rsidRPr="00613E29">
              <w:rPr>
                <w:sz w:val="16"/>
                <w:szCs w:val="16"/>
              </w:rPr>
              <w:t>18.2.2014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-29 009 308,00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Upravený rozpočet 2014 - předfinancované volby do PS PČR v roce 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220 283,86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107. RMP ze dne </w:t>
            </w:r>
            <w:proofErr w:type="gramStart"/>
            <w:r w:rsidRPr="00613E29">
              <w:rPr>
                <w:sz w:val="16"/>
                <w:szCs w:val="16"/>
              </w:rPr>
              <w:t>18.3.2014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935 093,00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109. RMP ze dne </w:t>
            </w:r>
            <w:proofErr w:type="gramStart"/>
            <w:r w:rsidRPr="00613E29">
              <w:rPr>
                <w:sz w:val="16"/>
                <w:szCs w:val="16"/>
              </w:rPr>
              <w:t>1.4.2014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643 517,00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30. ZMP ze dne </w:t>
            </w:r>
            <w:proofErr w:type="gramStart"/>
            <w:r w:rsidRPr="00613E29">
              <w:rPr>
                <w:sz w:val="16"/>
                <w:szCs w:val="16"/>
              </w:rPr>
              <w:t>15.4.2014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-2 163 000,00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111. RMP ze dne </w:t>
            </w:r>
            <w:proofErr w:type="gramStart"/>
            <w:r w:rsidRPr="00613E29">
              <w:rPr>
                <w:sz w:val="16"/>
                <w:szCs w:val="16"/>
              </w:rPr>
              <w:t>29.4.2014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2 309 000,00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náhrada usnesení č. 4231 </w:t>
            </w:r>
            <w:proofErr w:type="spellStart"/>
            <w:r w:rsidRPr="00613E29">
              <w:rPr>
                <w:sz w:val="16"/>
                <w:szCs w:val="16"/>
              </w:rPr>
              <w:t>usn</w:t>
            </w:r>
            <w:proofErr w:type="spellEnd"/>
            <w:r w:rsidRPr="00613E29">
              <w:rPr>
                <w:sz w:val="16"/>
                <w:szCs w:val="16"/>
              </w:rPr>
              <w:t>. č. 4284 - RMP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-985 093,00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31. ZMP ze dne </w:t>
            </w:r>
            <w:proofErr w:type="gramStart"/>
            <w:r w:rsidRPr="00613E29">
              <w:rPr>
                <w:sz w:val="16"/>
                <w:szCs w:val="16"/>
              </w:rPr>
              <w:t>13.5.2014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99 551 979,82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113. RMP ze dne </w:t>
            </w:r>
            <w:proofErr w:type="gramStart"/>
            <w:r w:rsidRPr="00613E29">
              <w:rPr>
                <w:sz w:val="16"/>
                <w:szCs w:val="16"/>
              </w:rPr>
              <w:t>27.5.2014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-360 000,00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32. ZMP ze dne </w:t>
            </w:r>
            <w:proofErr w:type="gramStart"/>
            <w:r w:rsidRPr="00613E29">
              <w:rPr>
                <w:sz w:val="16"/>
                <w:szCs w:val="16"/>
              </w:rPr>
              <w:t>10.6.2014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-18 426 000,00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116. RMP ze dne </w:t>
            </w:r>
            <w:proofErr w:type="gramStart"/>
            <w:r w:rsidRPr="00613E29">
              <w:rPr>
                <w:sz w:val="16"/>
                <w:szCs w:val="16"/>
              </w:rPr>
              <w:t>25.6.2014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-60 000,00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Aktivní pol. </w:t>
            </w:r>
            <w:proofErr w:type="spellStart"/>
            <w:r w:rsidRPr="00613E29">
              <w:rPr>
                <w:sz w:val="16"/>
                <w:szCs w:val="16"/>
              </w:rPr>
              <w:t>zaměstnan</w:t>
            </w:r>
            <w:proofErr w:type="spellEnd"/>
            <w:r w:rsidRPr="00613E29">
              <w:rPr>
                <w:sz w:val="16"/>
                <w:szCs w:val="16"/>
              </w:rPr>
              <w:t xml:space="preserve">. - fakt. </w:t>
            </w:r>
            <w:proofErr w:type="spellStart"/>
            <w:r w:rsidRPr="00613E29">
              <w:rPr>
                <w:sz w:val="16"/>
                <w:szCs w:val="16"/>
              </w:rPr>
              <w:t>uhr</w:t>
            </w:r>
            <w:proofErr w:type="spellEnd"/>
            <w:r w:rsidRPr="00613E29">
              <w:rPr>
                <w:sz w:val="16"/>
                <w:szCs w:val="16"/>
              </w:rPr>
              <w:t xml:space="preserve">. v roce 2013 z </w:t>
            </w:r>
            <w:proofErr w:type="spellStart"/>
            <w:r w:rsidRPr="00613E29">
              <w:rPr>
                <w:sz w:val="16"/>
                <w:szCs w:val="16"/>
              </w:rPr>
              <w:t>prostř</w:t>
            </w:r>
            <w:proofErr w:type="spellEnd"/>
            <w:r w:rsidRPr="00613E29">
              <w:rPr>
                <w:sz w:val="16"/>
                <w:szCs w:val="16"/>
              </w:rPr>
              <w:t>. města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490 154,00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117. RMP ze dne </w:t>
            </w:r>
            <w:proofErr w:type="gramStart"/>
            <w:r w:rsidRPr="00613E29">
              <w:rPr>
                <w:sz w:val="16"/>
                <w:szCs w:val="16"/>
              </w:rPr>
              <w:t>29.7.2014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-100 000,00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34. ZMP ze dne </w:t>
            </w:r>
            <w:proofErr w:type="gramStart"/>
            <w:r w:rsidRPr="00613E29">
              <w:rPr>
                <w:sz w:val="16"/>
                <w:szCs w:val="16"/>
              </w:rPr>
              <w:t>29.7..2014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-875 550,00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Dotace - fakt. </w:t>
            </w:r>
            <w:proofErr w:type="spellStart"/>
            <w:r w:rsidRPr="00613E29">
              <w:rPr>
                <w:sz w:val="16"/>
                <w:szCs w:val="16"/>
              </w:rPr>
              <w:t>uhraz</w:t>
            </w:r>
            <w:proofErr w:type="spellEnd"/>
            <w:r w:rsidRPr="00613E29">
              <w:rPr>
                <w:sz w:val="16"/>
                <w:szCs w:val="16"/>
              </w:rPr>
              <w:t xml:space="preserve">. v r. 2012, 2013 z </w:t>
            </w:r>
            <w:proofErr w:type="spellStart"/>
            <w:r w:rsidRPr="00613E29">
              <w:rPr>
                <w:sz w:val="16"/>
                <w:szCs w:val="16"/>
              </w:rPr>
              <w:t>prostř</w:t>
            </w:r>
            <w:proofErr w:type="spellEnd"/>
            <w:r w:rsidRPr="00613E29">
              <w:rPr>
                <w:sz w:val="16"/>
                <w:szCs w:val="16"/>
              </w:rPr>
              <w:t>. města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7 178 519,81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118. RMP ze dne </w:t>
            </w:r>
            <w:proofErr w:type="gramStart"/>
            <w:r w:rsidRPr="00613E29">
              <w:rPr>
                <w:sz w:val="16"/>
                <w:szCs w:val="16"/>
              </w:rPr>
              <w:t>19.8.2014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-65 000,00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Upravený rozpočet 2014 - schváleno 11. RMP ze dne 121.9.2014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732 602,00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35. ZMP ze dne </w:t>
            </w:r>
            <w:proofErr w:type="gramStart"/>
            <w:r w:rsidRPr="00613E29">
              <w:rPr>
                <w:sz w:val="16"/>
                <w:szCs w:val="16"/>
              </w:rPr>
              <w:t>23.9.2014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-16 797 598,90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123. RMP ze dne </w:t>
            </w:r>
            <w:proofErr w:type="gramStart"/>
            <w:r w:rsidRPr="00613E29">
              <w:rPr>
                <w:sz w:val="16"/>
                <w:szCs w:val="16"/>
              </w:rPr>
              <w:t>7.10.2014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1 500,00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124. RMP ze dne </w:t>
            </w:r>
            <w:proofErr w:type="gramStart"/>
            <w:r w:rsidRPr="00613E29">
              <w:rPr>
                <w:sz w:val="16"/>
                <w:szCs w:val="16"/>
              </w:rPr>
              <w:t>21.10.2014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-181 826,00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1 RMP ze dne </w:t>
            </w:r>
            <w:proofErr w:type="gramStart"/>
            <w:r w:rsidRPr="00613E29">
              <w:rPr>
                <w:sz w:val="16"/>
                <w:szCs w:val="16"/>
              </w:rPr>
              <w:t>18.11.2014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1 415 000,00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2 RMP ze dne </w:t>
            </w:r>
            <w:proofErr w:type="gramStart"/>
            <w:r w:rsidRPr="00613E29">
              <w:rPr>
                <w:sz w:val="16"/>
                <w:szCs w:val="16"/>
              </w:rPr>
              <w:t>2.12.2014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418 000,00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Dotace - fakt. </w:t>
            </w:r>
            <w:proofErr w:type="spellStart"/>
            <w:r w:rsidRPr="00613E29">
              <w:rPr>
                <w:sz w:val="16"/>
                <w:szCs w:val="16"/>
              </w:rPr>
              <w:t>uhraz</w:t>
            </w:r>
            <w:proofErr w:type="spellEnd"/>
            <w:r w:rsidRPr="00613E29">
              <w:rPr>
                <w:sz w:val="16"/>
                <w:szCs w:val="16"/>
              </w:rPr>
              <w:t xml:space="preserve">. v r. 2011, 2012, 2013 z </w:t>
            </w:r>
            <w:proofErr w:type="spellStart"/>
            <w:r w:rsidRPr="00613E29">
              <w:rPr>
                <w:sz w:val="16"/>
                <w:szCs w:val="16"/>
              </w:rPr>
              <w:t>prostř</w:t>
            </w:r>
            <w:proofErr w:type="spellEnd"/>
            <w:r w:rsidRPr="00613E29">
              <w:rPr>
                <w:sz w:val="16"/>
                <w:szCs w:val="16"/>
              </w:rPr>
              <w:t>. města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134 819,70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Dotace - fakt. </w:t>
            </w:r>
            <w:proofErr w:type="spellStart"/>
            <w:r w:rsidRPr="00613E29">
              <w:rPr>
                <w:sz w:val="16"/>
                <w:szCs w:val="16"/>
              </w:rPr>
              <w:t>uhraz</w:t>
            </w:r>
            <w:proofErr w:type="spellEnd"/>
            <w:r w:rsidRPr="00613E29">
              <w:rPr>
                <w:sz w:val="16"/>
                <w:szCs w:val="16"/>
              </w:rPr>
              <w:t xml:space="preserve">. v r. 2009 až 2013 z </w:t>
            </w:r>
            <w:proofErr w:type="spellStart"/>
            <w:r w:rsidRPr="00613E29">
              <w:rPr>
                <w:sz w:val="16"/>
                <w:szCs w:val="16"/>
              </w:rPr>
              <w:t>prostř</w:t>
            </w:r>
            <w:proofErr w:type="spellEnd"/>
            <w:r w:rsidRPr="00613E29">
              <w:rPr>
                <w:sz w:val="16"/>
                <w:szCs w:val="16"/>
              </w:rPr>
              <w:t>. města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45 272,25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3 ZMP ze dne </w:t>
            </w:r>
            <w:proofErr w:type="gramStart"/>
            <w:r w:rsidRPr="00613E29">
              <w:rPr>
                <w:sz w:val="16"/>
                <w:szCs w:val="16"/>
              </w:rPr>
              <w:t>15.12.2014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82 069 133,70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Dotace - fakt. </w:t>
            </w:r>
            <w:proofErr w:type="spellStart"/>
            <w:r w:rsidRPr="00613E29">
              <w:rPr>
                <w:sz w:val="16"/>
                <w:szCs w:val="16"/>
              </w:rPr>
              <w:t>uhraz</w:t>
            </w:r>
            <w:proofErr w:type="spellEnd"/>
            <w:r w:rsidRPr="00613E29">
              <w:rPr>
                <w:sz w:val="16"/>
                <w:szCs w:val="16"/>
              </w:rPr>
              <w:t xml:space="preserve">. v r. 2013 z </w:t>
            </w:r>
            <w:proofErr w:type="spellStart"/>
            <w:r w:rsidRPr="00613E29">
              <w:rPr>
                <w:sz w:val="16"/>
                <w:szCs w:val="16"/>
              </w:rPr>
              <w:t>prostř</w:t>
            </w:r>
            <w:proofErr w:type="spellEnd"/>
            <w:r w:rsidRPr="00613E29">
              <w:rPr>
                <w:sz w:val="16"/>
                <w:szCs w:val="16"/>
              </w:rPr>
              <w:t>. města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376 357,59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Dotace - fakt. </w:t>
            </w:r>
            <w:proofErr w:type="spellStart"/>
            <w:r w:rsidRPr="00613E29">
              <w:rPr>
                <w:sz w:val="16"/>
                <w:szCs w:val="16"/>
              </w:rPr>
              <w:t>uhraz</w:t>
            </w:r>
            <w:proofErr w:type="spellEnd"/>
            <w:r w:rsidRPr="00613E29">
              <w:rPr>
                <w:sz w:val="16"/>
                <w:szCs w:val="16"/>
              </w:rPr>
              <w:t xml:space="preserve">. v r. 2013 z </w:t>
            </w:r>
            <w:proofErr w:type="spellStart"/>
            <w:r w:rsidRPr="00613E29">
              <w:rPr>
                <w:sz w:val="16"/>
                <w:szCs w:val="16"/>
              </w:rPr>
              <w:t>prostř</w:t>
            </w:r>
            <w:proofErr w:type="spellEnd"/>
            <w:r w:rsidRPr="00613E29">
              <w:rPr>
                <w:sz w:val="16"/>
                <w:szCs w:val="16"/>
              </w:rPr>
              <w:t>. města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3 646 992,55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Upravený rozpočet 2014 - Dotace - předfinancování z prostředků města v r. 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355 169,32</w:t>
            </w:r>
          </w:p>
        </w:tc>
      </w:tr>
      <w:tr w:rsidR="0055761D" w:rsidRPr="00613E29" w:rsidTr="0055761D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61D" w:rsidRPr="00613E29" w:rsidRDefault="0055761D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61D" w:rsidRPr="0055761D" w:rsidRDefault="0055761D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5761D">
              <w:rPr>
                <w:sz w:val="16"/>
                <w:szCs w:val="16"/>
              </w:rPr>
              <w:t>Závazek mezi základním běžným účtem a účtem fondů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61D" w:rsidRPr="0055761D" w:rsidRDefault="0055761D" w:rsidP="00613E29">
            <w:pPr>
              <w:autoSpaceDE/>
              <w:autoSpaceDN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-4 563 348,51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Konečný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901B48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120 399 496,62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Fond národního domu</w:t>
            </w:r>
            <w:r w:rsidRPr="00613E29">
              <w:rPr>
                <w:b/>
                <w:bCs/>
                <w:sz w:val="16"/>
                <w:szCs w:val="16"/>
              </w:rPr>
              <w:br/>
              <w:t>ÚZ000000002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1.1.2014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Konečný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Fond městských lázní</w:t>
            </w:r>
            <w:r w:rsidRPr="00613E29">
              <w:rPr>
                <w:b/>
                <w:bCs/>
                <w:sz w:val="16"/>
                <w:szCs w:val="16"/>
              </w:rPr>
              <w:br w:type="page"/>
              <w:t>ÚZ000000003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1.1.2014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Konečný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Fond městských hřbitovů</w:t>
            </w:r>
            <w:r w:rsidRPr="00613E29">
              <w:rPr>
                <w:b/>
                <w:bCs/>
                <w:sz w:val="16"/>
                <w:szCs w:val="16"/>
              </w:rPr>
              <w:br/>
              <w:t>ÚZ000000004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1.1.2014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Konečný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Fond reinvestic nájemného</w:t>
            </w:r>
            <w:r w:rsidRPr="00613E29">
              <w:rPr>
                <w:b/>
                <w:bCs/>
                <w:sz w:val="16"/>
                <w:szCs w:val="16"/>
              </w:rPr>
              <w:br/>
              <w:t>ÚZ000000005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1.1.2014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23,70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Schválený rozpočet 2014 - schváleno 28. ZMP ze dne </w:t>
            </w:r>
            <w:proofErr w:type="gramStart"/>
            <w:r w:rsidRPr="00613E29">
              <w:rPr>
                <w:sz w:val="16"/>
                <w:szCs w:val="16"/>
              </w:rPr>
              <w:t>17.12.2013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2 187 160,00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30. ZMP ze dne </w:t>
            </w:r>
            <w:proofErr w:type="gramStart"/>
            <w:r w:rsidRPr="00613E29">
              <w:rPr>
                <w:sz w:val="16"/>
                <w:szCs w:val="16"/>
              </w:rPr>
              <w:t>15.4.2014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-2 187 183,00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Konečný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Fond zeleně</w:t>
            </w:r>
            <w:r w:rsidRPr="00613E29">
              <w:rPr>
                <w:b/>
                <w:bCs/>
                <w:sz w:val="16"/>
                <w:szCs w:val="16"/>
              </w:rPr>
              <w:br/>
              <w:t>ÚZ000000006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1.1.2014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1 147 338,24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Upravený rozpočet 2014 - schváleno 30. ZMP ze dne </w:t>
            </w:r>
            <w:proofErr w:type="gramStart"/>
            <w:r w:rsidRPr="00613E29">
              <w:rPr>
                <w:sz w:val="16"/>
                <w:szCs w:val="16"/>
              </w:rPr>
              <w:t>15.4.2014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-1 100 000,00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Konečný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47 338,24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Fond strategického rozvoje</w:t>
            </w:r>
            <w:r w:rsidRPr="00613E29">
              <w:rPr>
                <w:b/>
                <w:bCs/>
                <w:sz w:val="16"/>
                <w:szCs w:val="16"/>
              </w:rPr>
              <w:br/>
              <w:t>ÚZ000000007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1.1.2014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3E29" w:rsidRPr="00613E29" w:rsidTr="00613E29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Konečný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3E29" w:rsidRPr="00613E29" w:rsidTr="00075619">
        <w:trPr>
          <w:trHeight w:val="22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Sociální fond</w:t>
            </w:r>
            <w:r w:rsidRPr="00613E29">
              <w:rPr>
                <w:b/>
                <w:bCs/>
                <w:sz w:val="16"/>
                <w:szCs w:val="16"/>
              </w:rPr>
              <w:br/>
              <w:t>Kapitola 71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1.1.2014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542 993,03</w:t>
            </w:r>
          </w:p>
        </w:tc>
      </w:tr>
      <w:tr w:rsidR="00613E29" w:rsidRPr="00613E29" w:rsidTr="00075619">
        <w:trPr>
          <w:trHeight w:val="22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Příjmy SF k </w:t>
            </w:r>
            <w:proofErr w:type="gramStart"/>
            <w:r w:rsidRPr="00613E29">
              <w:rPr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2 636 800,00</w:t>
            </w:r>
          </w:p>
        </w:tc>
      </w:tr>
      <w:tr w:rsidR="00613E29" w:rsidRPr="00613E29" w:rsidTr="00075619">
        <w:trPr>
          <w:trHeight w:val="22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 xml:space="preserve">Výdaje SF k </w:t>
            </w:r>
            <w:proofErr w:type="gramStart"/>
            <w:r w:rsidRPr="00613E29">
              <w:rPr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613E29">
              <w:rPr>
                <w:sz w:val="16"/>
                <w:szCs w:val="16"/>
              </w:rPr>
              <w:t>-2 472 750,72</w:t>
            </w:r>
          </w:p>
        </w:tc>
      </w:tr>
      <w:tr w:rsidR="00613E29" w:rsidRPr="00613E29" w:rsidTr="00075619">
        <w:trPr>
          <w:trHeight w:val="22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 xml:space="preserve">Konečný zůstatek k </w:t>
            </w:r>
            <w:proofErr w:type="gramStart"/>
            <w:r w:rsidRPr="00613E29">
              <w:rPr>
                <w:b/>
                <w:bCs/>
                <w:sz w:val="16"/>
                <w:szCs w:val="16"/>
              </w:rPr>
              <w:t>31.12.2014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13E29" w:rsidRPr="00613E29" w:rsidRDefault="00613E29" w:rsidP="00613E29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613E29">
              <w:rPr>
                <w:b/>
                <w:bCs/>
                <w:sz w:val="16"/>
                <w:szCs w:val="16"/>
              </w:rPr>
              <w:t>707 042,31</w:t>
            </w:r>
          </w:p>
        </w:tc>
      </w:tr>
    </w:tbl>
    <w:p w:rsidR="00815C1A" w:rsidRDefault="00815C1A" w:rsidP="00171AA2">
      <w:pPr>
        <w:rPr>
          <w:bCs/>
        </w:rPr>
      </w:pPr>
    </w:p>
    <w:p w:rsidR="00FF6CD7" w:rsidRPr="00666F88" w:rsidRDefault="00FF6CD7" w:rsidP="00171AA2">
      <w:pPr>
        <w:rPr>
          <w:bCs/>
        </w:rPr>
      </w:pPr>
      <w:bookmarkStart w:id="35" w:name="_GoBack"/>
      <w:bookmarkEnd w:id="35"/>
    </w:p>
    <w:p w:rsidR="00F96648" w:rsidRPr="00666F88" w:rsidRDefault="00E8129F" w:rsidP="00205B60">
      <w:pPr>
        <w:jc w:val="both"/>
        <w:rPr>
          <w:b/>
          <w:bCs/>
          <w:sz w:val="24"/>
          <w:szCs w:val="24"/>
          <w:u w:val="single"/>
          <w:shd w:val="clear" w:color="auto" w:fill="FFC000"/>
        </w:rPr>
      </w:pPr>
      <w:r w:rsidRPr="00666F88">
        <w:rPr>
          <w:b/>
          <w:bCs/>
          <w:sz w:val="24"/>
          <w:szCs w:val="24"/>
          <w:u w:val="single"/>
          <w:shd w:val="clear" w:color="auto" w:fill="FFC000"/>
        </w:rPr>
        <w:lastRenderedPageBreak/>
        <w:t xml:space="preserve">Obchodní </w:t>
      </w:r>
      <w:r w:rsidR="006B584B">
        <w:rPr>
          <w:b/>
          <w:bCs/>
          <w:sz w:val="24"/>
          <w:szCs w:val="24"/>
          <w:u w:val="single"/>
          <w:shd w:val="clear" w:color="auto" w:fill="FFC000"/>
        </w:rPr>
        <w:t>korporace</w:t>
      </w:r>
      <w:r w:rsidRPr="00666F88">
        <w:rPr>
          <w:b/>
          <w:bCs/>
          <w:sz w:val="24"/>
          <w:szCs w:val="24"/>
          <w:u w:val="single"/>
          <w:shd w:val="clear" w:color="auto" w:fill="FFC000"/>
        </w:rPr>
        <w:t xml:space="preserve"> založené městem, kde jediným společníkem je </w:t>
      </w:r>
      <w:r w:rsidR="00992E09">
        <w:rPr>
          <w:b/>
          <w:bCs/>
          <w:sz w:val="24"/>
          <w:szCs w:val="24"/>
          <w:u w:val="single"/>
          <w:shd w:val="clear" w:color="auto" w:fill="FFC000"/>
        </w:rPr>
        <w:t xml:space="preserve">statutární </w:t>
      </w:r>
      <w:r w:rsidRPr="00666F88">
        <w:rPr>
          <w:b/>
          <w:bCs/>
          <w:sz w:val="24"/>
          <w:szCs w:val="24"/>
          <w:u w:val="single"/>
          <w:shd w:val="clear" w:color="auto" w:fill="FFC000"/>
        </w:rPr>
        <w:t>město Prostějov</w:t>
      </w:r>
    </w:p>
    <w:p w:rsidR="00F96648" w:rsidRPr="00666F88" w:rsidRDefault="00F96648" w:rsidP="00205B60">
      <w:pPr>
        <w:jc w:val="both"/>
        <w:rPr>
          <w:b/>
          <w:bCs/>
          <w:sz w:val="24"/>
          <w:szCs w:val="24"/>
          <w:u w:val="single"/>
          <w:shd w:val="clear" w:color="auto" w:fill="FFC000"/>
        </w:rPr>
      </w:pPr>
    </w:p>
    <w:p w:rsidR="00F03B7F" w:rsidRPr="00666F88" w:rsidRDefault="00E8129F" w:rsidP="00205B60">
      <w:pPr>
        <w:jc w:val="both"/>
      </w:pPr>
      <w:r w:rsidRPr="00666F88">
        <w:tab/>
        <w:t xml:space="preserve">Výsledky hospodaření obchodních </w:t>
      </w:r>
      <w:r w:rsidR="005334E6">
        <w:t>korporací</w:t>
      </w:r>
      <w:r w:rsidRPr="00666F88">
        <w:t xml:space="preserve"> založených městem, kde jediným společníkem je </w:t>
      </w:r>
      <w:r w:rsidR="006C2BA3" w:rsidRPr="00666F88">
        <w:t xml:space="preserve">statutární </w:t>
      </w:r>
      <w:r w:rsidRPr="00666F88">
        <w:t xml:space="preserve">město Prostějov (LMP, s.r.o., DSP, s.r.o.), za </w:t>
      </w:r>
      <w:r w:rsidR="00780F2B" w:rsidRPr="00666F88">
        <w:t xml:space="preserve">účetní období </w:t>
      </w:r>
      <w:r w:rsidRPr="00666F88">
        <w:t>roku 20</w:t>
      </w:r>
      <w:r w:rsidR="00DF2975" w:rsidRPr="00666F88">
        <w:t>1</w:t>
      </w:r>
      <w:r w:rsidR="00CE1875">
        <w:t>4</w:t>
      </w:r>
      <w:r w:rsidRPr="00666F88">
        <w:t xml:space="preserve"> budou projednány samostatně při jednání RMP v působnosti valných hromad těchto </w:t>
      </w:r>
      <w:r w:rsidR="005334E6">
        <w:t>korporací</w:t>
      </w:r>
      <w:r w:rsidRPr="00666F88">
        <w:t xml:space="preserve">. </w:t>
      </w:r>
      <w:r w:rsidR="00780F2B" w:rsidRPr="00666F88">
        <w:t xml:space="preserve">Výroční zprávy těchto obchodních </w:t>
      </w:r>
      <w:r w:rsidR="005334E6">
        <w:t>korporací</w:t>
      </w:r>
      <w:r w:rsidR="00780F2B" w:rsidRPr="00666F88">
        <w:t xml:space="preserve"> budou orgánům města, dle pokynů schválených usnesením RMP č. </w:t>
      </w:r>
      <w:r w:rsidR="005334E6">
        <w:t>04008</w:t>
      </w:r>
      <w:r w:rsidR="00780F2B" w:rsidRPr="00666F88">
        <w:t xml:space="preserve"> ze dne </w:t>
      </w:r>
      <w:proofErr w:type="gramStart"/>
      <w:r w:rsidR="00AF0DF4" w:rsidRPr="00666F88">
        <w:t>2.12.2014</w:t>
      </w:r>
      <w:proofErr w:type="gramEnd"/>
      <w:r w:rsidR="00780F2B" w:rsidRPr="00666F88">
        <w:t>, předloženy v termínu do 10.4.20</w:t>
      </w:r>
      <w:r w:rsidR="00DF2975" w:rsidRPr="00666F88">
        <w:t>1</w:t>
      </w:r>
      <w:r w:rsidR="005334E6">
        <w:t>5</w:t>
      </w:r>
      <w:r w:rsidR="00780F2B" w:rsidRPr="00666F88">
        <w:t xml:space="preserve"> jednateli </w:t>
      </w:r>
      <w:r w:rsidR="005334E6">
        <w:t>korporací</w:t>
      </w:r>
      <w:r w:rsidR="00780F2B" w:rsidRPr="00666F88">
        <w:t xml:space="preserve"> samostatně tak, aby mohly být součástí závěrečného účtu </w:t>
      </w:r>
      <w:r w:rsidR="006C2BA3" w:rsidRPr="00666F88">
        <w:t xml:space="preserve">statutárního </w:t>
      </w:r>
      <w:r w:rsidR="00780F2B" w:rsidRPr="00666F88">
        <w:t>města Prostějova pro rok 20</w:t>
      </w:r>
      <w:r w:rsidR="00DF2975" w:rsidRPr="00666F88">
        <w:t>1</w:t>
      </w:r>
      <w:r w:rsidR="005334E6">
        <w:t>4</w:t>
      </w:r>
      <w:r w:rsidR="00780F2B" w:rsidRPr="00666F88">
        <w:t xml:space="preserve"> při jeho schvalování ZMP dne</w:t>
      </w:r>
      <w:r w:rsidR="005A18CF" w:rsidRPr="00666F88">
        <w:t xml:space="preserve"> </w:t>
      </w:r>
      <w:r w:rsidR="005334E6">
        <w:t>8.6.2015</w:t>
      </w:r>
      <w:r w:rsidR="00780F2B" w:rsidRPr="00666F88">
        <w:t>.</w:t>
      </w:r>
    </w:p>
    <w:p w:rsidR="0050058B" w:rsidRPr="00666F88" w:rsidRDefault="0050058B" w:rsidP="00205B60">
      <w:pPr>
        <w:jc w:val="both"/>
      </w:pPr>
    </w:p>
    <w:p w:rsidR="00AB0295" w:rsidRPr="00666F88" w:rsidRDefault="00AB0295" w:rsidP="00205B60">
      <w:pPr>
        <w:pStyle w:val="Zkladntext3"/>
        <w:shd w:val="clear" w:color="auto" w:fill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4A44" w:rsidRPr="00666F88" w:rsidRDefault="00774A44" w:rsidP="00774A44">
      <w:pPr>
        <w:jc w:val="both"/>
        <w:rPr>
          <w:b/>
          <w:bCs/>
        </w:rPr>
      </w:pPr>
      <w:r w:rsidRPr="00666F88">
        <w:rPr>
          <w:b/>
          <w:bCs/>
          <w:sz w:val="24"/>
          <w:szCs w:val="24"/>
          <w:u w:val="single"/>
          <w:shd w:val="clear" w:color="auto" w:fill="FFC000"/>
        </w:rPr>
        <w:t>Majetková účast města Prostěj</w:t>
      </w:r>
      <w:r w:rsidR="00BB67B3" w:rsidRPr="00666F88">
        <w:rPr>
          <w:b/>
          <w:bCs/>
          <w:sz w:val="24"/>
          <w:szCs w:val="24"/>
          <w:u w:val="single"/>
          <w:shd w:val="clear" w:color="auto" w:fill="FFC000"/>
        </w:rPr>
        <w:t xml:space="preserve">ova v obchodních </w:t>
      </w:r>
      <w:r w:rsidR="006B584B">
        <w:rPr>
          <w:b/>
          <w:bCs/>
          <w:sz w:val="24"/>
          <w:szCs w:val="24"/>
          <w:u w:val="single"/>
          <w:shd w:val="clear" w:color="auto" w:fill="FFC000"/>
        </w:rPr>
        <w:t>korporacích</w:t>
      </w:r>
      <w:r w:rsidR="00BB67B3" w:rsidRPr="00666F88">
        <w:rPr>
          <w:b/>
          <w:bCs/>
          <w:sz w:val="24"/>
          <w:szCs w:val="24"/>
          <w:u w:val="single"/>
          <w:shd w:val="clear" w:color="auto" w:fill="FFC000"/>
        </w:rPr>
        <w:t xml:space="preserve"> </w:t>
      </w:r>
      <w:r w:rsidRPr="00666F88">
        <w:rPr>
          <w:b/>
          <w:bCs/>
          <w:sz w:val="24"/>
          <w:szCs w:val="24"/>
          <w:u w:val="single"/>
          <w:shd w:val="clear" w:color="auto" w:fill="FFC000"/>
        </w:rPr>
        <w:t>v tis. Kč k </w:t>
      </w:r>
      <w:proofErr w:type="gramStart"/>
      <w:r w:rsidRPr="00666F88">
        <w:rPr>
          <w:b/>
          <w:bCs/>
          <w:sz w:val="24"/>
          <w:szCs w:val="24"/>
          <w:u w:val="single"/>
          <w:shd w:val="clear" w:color="auto" w:fill="FFC000"/>
        </w:rPr>
        <w:t>31.12.201</w:t>
      </w:r>
      <w:r w:rsidR="005334E6">
        <w:rPr>
          <w:b/>
          <w:bCs/>
          <w:sz w:val="24"/>
          <w:szCs w:val="24"/>
          <w:u w:val="single"/>
          <w:shd w:val="clear" w:color="auto" w:fill="FFC000"/>
        </w:rPr>
        <w:t>4</w:t>
      </w:r>
      <w:proofErr w:type="gramEnd"/>
    </w:p>
    <w:p w:rsidR="00774A44" w:rsidRPr="00666F88" w:rsidRDefault="00774A44" w:rsidP="00774A44">
      <w:pPr>
        <w:pStyle w:val="Zkladntext3"/>
        <w:shd w:val="clear" w:color="auto" w:fill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4A44" w:rsidRDefault="00774A44" w:rsidP="00933162">
      <w:pPr>
        <w:pStyle w:val="Zkladntext3"/>
        <w:shd w:val="clear" w:color="auto" w:fill="auto"/>
        <w:ind w:left="-142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9"/>
        <w:gridCol w:w="885"/>
        <w:gridCol w:w="850"/>
        <w:gridCol w:w="1134"/>
        <w:gridCol w:w="1134"/>
        <w:gridCol w:w="1134"/>
        <w:gridCol w:w="992"/>
        <w:gridCol w:w="993"/>
      </w:tblGrid>
      <w:tr w:rsidR="0098051A" w:rsidRPr="0098051A" w:rsidTr="0098051A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8051A">
              <w:rPr>
                <w:b/>
                <w:bCs/>
                <w:sz w:val="16"/>
                <w:szCs w:val="16"/>
              </w:rPr>
              <w:br/>
              <w:t>Název obchodní korporace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8051A">
              <w:rPr>
                <w:b/>
                <w:bCs/>
                <w:sz w:val="16"/>
                <w:szCs w:val="16"/>
              </w:rPr>
              <w:br/>
              <w:t xml:space="preserve">Pořizovací cena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8051A">
              <w:rPr>
                <w:b/>
                <w:bCs/>
                <w:sz w:val="16"/>
                <w:szCs w:val="16"/>
              </w:rPr>
              <w:br/>
              <w:t>Podíl města v 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8051A">
              <w:rPr>
                <w:b/>
                <w:bCs/>
                <w:sz w:val="16"/>
                <w:szCs w:val="16"/>
              </w:rPr>
              <w:t xml:space="preserve">Nominální hodnota podílu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8051A">
              <w:rPr>
                <w:b/>
                <w:bCs/>
                <w:sz w:val="16"/>
                <w:szCs w:val="16"/>
              </w:rPr>
              <w:t xml:space="preserve">Základní kapitál obch. </w:t>
            </w:r>
            <w:proofErr w:type="gramStart"/>
            <w:r>
              <w:rPr>
                <w:b/>
                <w:bCs/>
                <w:sz w:val="16"/>
                <w:szCs w:val="16"/>
              </w:rPr>
              <w:t>korporace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8051A">
              <w:rPr>
                <w:b/>
                <w:bCs/>
                <w:sz w:val="16"/>
                <w:szCs w:val="16"/>
              </w:rPr>
              <w:t xml:space="preserve">Vlastní kapitál obch. </w:t>
            </w:r>
            <w:proofErr w:type="gramStart"/>
            <w:r>
              <w:rPr>
                <w:b/>
                <w:bCs/>
                <w:sz w:val="16"/>
                <w:szCs w:val="16"/>
              </w:rPr>
              <w:t>korporace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051A">
              <w:rPr>
                <w:b/>
                <w:bCs/>
                <w:color w:val="000000"/>
                <w:sz w:val="16"/>
                <w:szCs w:val="16"/>
              </w:rPr>
              <w:t>Ocenění ekvivalencí 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051A">
              <w:rPr>
                <w:b/>
                <w:bCs/>
                <w:color w:val="000000"/>
                <w:sz w:val="16"/>
                <w:szCs w:val="16"/>
              </w:rPr>
              <w:t xml:space="preserve">Oceň. </w:t>
            </w:r>
            <w:proofErr w:type="gramStart"/>
            <w:r w:rsidRPr="0098051A">
              <w:rPr>
                <w:b/>
                <w:bCs/>
                <w:color w:val="000000"/>
                <w:sz w:val="16"/>
                <w:szCs w:val="16"/>
              </w:rPr>
              <w:t>rozdíl</w:t>
            </w:r>
            <w:proofErr w:type="gramEnd"/>
            <w:r w:rsidRPr="0098051A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8051A">
              <w:rPr>
                <w:b/>
                <w:bCs/>
                <w:color w:val="000000"/>
                <w:sz w:val="16"/>
                <w:szCs w:val="16"/>
              </w:rPr>
              <w:t>oc</w:t>
            </w:r>
            <w:proofErr w:type="spellEnd"/>
            <w:r w:rsidRPr="0098051A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8051A">
              <w:rPr>
                <w:b/>
                <w:bCs/>
                <w:color w:val="000000"/>
                <w:sz w:val="16"/>
                <w:szCs w:val="16"/>
              </w:rPr>
              <w:t>ekv</w:t>
            </w:r>
            <w:proofErr w:type="spellEnd"/>
            <w:r w:rsidRPr="0098051A">
              <w:rPr>
                <w:b/>
                <w:bCs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98051A">
              <w:rPr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98051A">
              <w:rPr>
                <w:b/>
                <w:bCs/>
                <w:color w:val="000000"/>
                <w:sz w:val="16"/>
                <w:szCs w:val="16"/>
              </w:rPr>
              <w:t>. cena)</w:t>
            </w:r>
          </w:p>
        </w:tc>
      </w:tr>
      <w:tr w:rsidR="00E01332" w:rsidRPr="0098051A" w:rsidTr="0098051A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Vodovody a kanalizace Prostějov, a.s.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339 554,29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71,768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317 319,00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442 148,00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582 214,00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417 841,00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78 286,71</w:t>
            </w:r>
          </w:p>
        </w:tc>
      </w:tr>
      <w:tr w:rsidR="00E01332" w:rsidRPr="0098051A" w:rsidTr="0098051A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Domovní správa Prostějov, s.r.o.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265 642,00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91 100,00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91 100,00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198 682,00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198 682,00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-66 960,00</w:t>
            </w:r>
          </w:p>
        </w:tc>
      </w:tr>
      <w:tr w:rsidR="00E01332" w:rsidRPr="0098051A" w:rsidTr="0098051A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.A.</w:t>
            </w:r>
            <w:proofErr w:type="gramStart"/>
            <w:r w:rsidRPr="0098051A">
              <w:rPr>
                <w:sz w:val="16"/>
                <w:szCs w:val="16"/>
              </w:rPr>
              <w:t>S.A.</w:t>
            </w:r>
            <w:proofErr w:type="gramEnd"/>
            <w:r w:rsidRPr="0098051A">
              <w:rPr>
                <w:sz w:val="16"/>
                <w:szCs w:val="16"/>
              </w:rPr>
              <w:t>, TS Prostějov, s.r.o.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11 114,16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11 114,00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44 456,00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56 235,00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14 058,75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2 944,59</w:t>
            </w:r>
          </w:p>
        </w:tc>
      </w:tr>
      <w:tr w:rsidR="00E01332" w:rsidRPr="0098051A" w:rsidTr="0098051A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FTL-</w:t>
            </w:r>
            <w:proofErr w:type="spellStart"/>
            <w:r w:rsidRPr="0098051A">
              <w:rPr>
                <w:sz w:val="16"/>
                <w:szCs w:val="16"/>
              </w:rPr>
              <w:t>First</w:t>
            </w:r>
            <w:proofErr w:type="spellEnd"/>
            <w:r w:rsidRPr="0098051A">
              <w:rPr>
                <w:sz w:val="16"/>
                <w:szCs w:val="16"/>
              </w:rPr>
              <w:t xml:space="preserve"> Transport Lines, a.s.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2 636,21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6 731,00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67 300,00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132 350,00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13 236,97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10 600,76</w:t>
            </w:r>
          </w:p>
        </w:tc>
      </w:tr>
      <w:tr w:rsidR="00E01332" w:rsidRPr="0098051A" w:rsidTr="0098051A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Lesy města Prostějova, s.r.o.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11 569,00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11 569,00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11 469,00</w:t>
            </w:r>
          </w:p>
        </w:tc>
      </w:tr>
      <w:tr w:rsidR="00E01332" w:rsidRPr="0098051A" w:rsidTr="0098051A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Společenský dům Prostějov, s.r.o.</w:t>
            </w:r>
            <w:r w:rsidR="00815C1A">
              <w:rPr>
                <w:sz w:val="16"/>
                <w:szCs w:val="16"/>
              </w:rPr>
              <w:t xml:space="preserve"> v likvidaci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13 700,00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13 700,00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13 700,00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32" w:rsidRPr="0098051A" w:rsidRDefault="00E01332" w:rsidP="0098051A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1 413,00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1 413,00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1332" w:rsidRPr="00E01332" w:rsidRDefault="00E01332">
            <w:pPr>
              <w:jc w:val="right"/>
              <w:rPr>
                <w:sz w:val="16"/>
                <w:szCs w:val="16"/>
              </w:rPr>
            </w:pPr>
            <w:r w:rsidRPr="00E01332">
              <w:rPr>
                <w:sz w:val="16"/>
                <w:szCs w:val="16"/>
              </w:rPr>
              <w:t>-12 287,00</w:t>
            </w:r>
          </w:p>
        </w:tc>
      </w:tr>
      <w:tr w:rsidR="0098051A" w:rsidRPr="0098051A" w:rsidTr="0098051A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98051A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051A" w:rsidRPr="0098051A" w:rsidRDefault="0098051A" w:rsidP="0098051A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98051A">
              <w:rPr>
                <w:b/>
                <w:bCs/>
                <w:sz w:val="16"/>
                <w:szCs w:val="16"/>
              </w:rPr>
              <w:t>632 746,66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8051A" w:rsidRPr="0098051A" w:rsidRDefault="0098051A" w:rsidP="0098051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8051A" w:rsidRPr="00666F88" w:rsidRDefault="0098051A" w:rsidP="00933162">
      <w:pPr>
        <w:pStyle w:val="Zkladntext3"/>
        <w:shd w:val="clear" w:color="auto" w:fill="auto"/>
        <w:ind w:left="-142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74A44" w:rsidRPr="00666F88" w:rsidRDefault="00774A44" w:rsidP="00774A44">
      <w:pPr>
        <w:pStyle w:val="Nadpis3"/>
        <w:spacing w:before="0" w:after="0"/>
        <w:ind w:left="142" w:hanging="142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774A44" w:rsidRPr="00815C1A" w:rsidRDefault="00774A44" w:rsidP="00774A44">
      <w:pPr>
        <w:pStyle w:val="Nadpis3"/>
        <w:spacing w:before="0" w:after="0"/>
        <w:ind w:left="142" w:hanging="142"/>
        <w:rPr>
          <w:rFonts w:ascii="Times New Roman" w:hAnsi="Times New Roman" w:cs="Times New Roman"/>
          <w:b w:val="0"/>
          <w:i/>
          <w:color w:val="000000"/>
          <w:sz w:val="16"/>
          <w:szCs w:val="16"/>
        </w:rPr>
      </w:pPr>
      <w:r w:rsidRPr="00815C1A">
        <w:rPr>
          <w:rFonts w:ascii="Times New Roman" w:hAnsi="Times New Roman" w:cs="Times New Roman"/>
          <w:b w:val="0"/>
          <w:i/>
          <w:color w:val="000000"/>
          <w:sz w:val="16"/>
          <w:szCs w:val="16"/>
        </w:rPr>
        <w:t>* V ocenění je zahrnuto pořízení akcií bezúplatným převodem z Fondu národního majetku ČR v rámci privatizace majetku ČR, a to ve výši jejich nominální hodnoty tj. 168.972 tis. Kč.</w:t>
      </w:r>
    </w:p>
    <w:p w:rsidR="00BB67B3" w:rsidRPr="00815C1A" w:rsidRDefault="00BB67B3" w:rsidP="00BB67B3">
      <w:pPr>
        <w:rPr>
          <w:i/>
        </w:rPr>
      </w:pPr>
    </w:p>
    <w:p w:rsidR="00BB67B3" w:rsidRPr="00815C1A" w:rsidRDefault="00BB67B3" w:rsidP="00BB67B3">
      <w:pPr>
        <w:rPr>
          <w:i/>
          <w:sz w:val="16"/>
          <w:szCs w:val="16"/>
        </w:rPr>
      </w:pPr>
      <w:r w:rsidRPr="00815C1A">
        <w:rPr>
          <w:i/>
          <w:sz w:val="16"/>
          <w:szCs w:val="16"/>
        </w:rPr>
        <w:t>** Ocenění ekvivalencí = ocenění majetkových účastí podílem na vlastním kapitálu.</w:t>
      </w:r>
    </w:p>
    <w:p w:rsidR="00774A44" w:rsidRPr="00666F88" w:rsidRDefault="00774A44" w:rsidP="00774A44">
      <w:pPr>
        <w:rPr>
          <w:sz w:val="16"/>
          <w:szCs w:val="16"/>
        </w:rPr>
      </w:pPr>
    </w:p>
    <w:p w:rsidR="00546E7D" w:rsidRPr="0098051A" w:rsidRDefault="00546E7D" w:rsidP="004D3E16">
      <w:pPr>
        <w:jc w:val="both"/>
        <w:rPr>
          <w:color w:val="000000"/>
        </w:rPr>
      </w:pPr>
    </w:p>
    <w:p w:rsidR="00C56E81" w:rsidRPr="0098051A" w:rsidRDefault="00C56E81" w:rsidP="0098051A">
      <w:pPr>
        <w:rPr>
          <w:b/>
          <w:sz w:val="24"/>
          <w:szCs w:val="24"/>
          <w:u w:val="single"/>
        </w:rPr>
      </w:pPr>
      <w:r w:rsidRPr="0098051A">
        <w:rPr>
          <w:b/>
          <w:sz w:val="24"/>
          <w:szCs w:val="24"/>
          <w:u w:val="single"/>
          <w:shd w:val="clear" w:color="auto" w:fill="FFC000"/>
        </w:rPr>
        <w:t>In</w:t>
      </w:r>
      <w:r w:rsidR="00D47D18" w:rsidRPr="0098051A">
        <w:rPr>
          <w:b/>
          <w:sz w:val="24"/>
          <w:szCs w:val="24"/>
          <w:u w:val="single"/>
          <w:shd w:val="clear" w:color="auto" w:fill="FFC000"/>
        </w:rPr>
        <w:t xml:space="preserve">ventarizace majetku k </w:t>
      </w:r>
      <w:proofErr w:type="gramStart"/>
      <w:r w:rsidR="00D47D18" w:rsidRPr="0098051A">
        <w:rPr>
          <w:b/>
          <w:sz w:val="24"/>
          <w:szCs w:val="24"/>
          <w:u w:val="single"/>
          <w:shd w:val="clear" w:color="auto" w:fill="FFC000"/>
        </w:rPr>
        <w:t>31.12.20</w:t>
      </w:r>
      <w:r w:rsidR="003A7864" w:rsidRPr="0098051A">
        <w:rPr>
          <w:b/>
          <w:sz w:val="24"/>
          <w:szCs w:val="24"/>
          <w:u w:val="single"/>
          <w:shd w:val="clear" w:color="auto" w:fill="FFC000"/>
        </w:rPr>
        <w:t>1</w:t>
      </w:r>
      <w:r w:rsidR="005334E6" w:rsidRPr="0098051A">
        <w:rPr>
          <w:b/>
          <w:sz w:val="24"/>
          <w:szCs w:val="24"/>
          <w:u w:val="single"/>
          <w:shd w:val="clear" w:color="auto" w:fill="FFC000"/>
        </w:rPr>
        <w:t>4</w:t>
      </w:r>
      <w:proofErr w:type="gramEnd"/>
    </w:p>
    <w:p w:rsidR="00C56E81" w:rsidRPr="0098051A" w:rsidRDefault="00C56E81" w:rsidP="003474F5">
      <w:pPr>
        <w:tabs>
          <w:tab w:val="left" w:pos="4536"/>
        </w:tabs>
        <w:jc w:val="both"/>
        <w:rPr>
          <w:b/>
          <w:bCs/>
        </w:rPr>
      </w:pPr>
    </w:p>
    <w:p w:rsidR="00284FAA" w:rsidRPr="00666F88" w:rsidRDefault="005334E6" w:rsidP="005B2384">
      <w:pPr>
        <w:tabs>
          <w:tab w:val="left" w:pos="4536"/>
        </w:tabs>
        <w:ind w:firstLine="720"/>
        <w:jc w:val="both"/>
      </w:pPr>
      <w:r w:rsidRPr="0098051A">
        <w:t>V souladu s vnitřní účetní směrnicí č. 14/2014</w:t>
      </w:r>
      <w:r w:rsidR="00284FAA" w:rsidRPr="0098051A">
        <w:t xml:space="preserve"> Inventarizace majetku a závazků a Pl</w:t>
      </w:r>
      <w:r w:rsidR="003474F5" w:rsidRPr="0098051A">
        <w:t>ánu inventur na rok 201</w:t>
      </w:r>
      <w:r w:rsidRPr="0098051A">
        <w:t>4</w:t>
      </w:r>
      <w:r w:rsidR="003474F5" w:rsidRPr="0098051A">
        <w:t xml:space="preserve"> ze dne</w:t>
      </w:r>
      <w:r w:rsidRPr="0098051A">
        <w:t xml:space="preserve"> </w:t>
      </w:r>
      <w:proofErr w:type="gramStart"/>
      <w:r w:rsidRPr="0098051A">
        <w:t>12.8.2014</w:t>
      </w:r>
      <w:proofErr w:type="gramEnd"/>
      <w:r w:rsidR="00284FAA" w:rsidRPr="0098051A">
        <w:t xml:space="preserve"> byla provedena řádná inventarizace veškerého majetku a závazků organizace </w:t>
      </w:r>
      <w:r w:rsidRPr="0098051A">
        <w:t>dle</w:t>
      </w:r>
      <w:r w:rsidR="003474F5" w:rsidRPr="0098051A">
        <w:t xml:space="preserve"> zákona č.</w:t>
      </w:r>
      <w:r w:rsidRPr="0098051A">
        <w:t xml:space="preserve"> </w:t>
      </w:r>
      <w:r w:rsidR="003474F5" w:rsidRPr="0098051A">
        <w:t xml:space="preserve">563/1991 </w:t>
      </w:r>
      <w:r w:rsidR="00284FAA" w:rsidRPr="0098051A">
        <w:t xml:space="preserve">Sb., o účetnictví, ve znění pozdějších předpisů, a </w:t>
      </w:r>
      <w:r w:rsidR="003474F5" w:rsidRPr="0098051A">
        <w:t>vyhlášky č. 270/2010 Sb.,</w:t>
      </w:r>
      <w:r w:rsidR="005B2384" w:rsidRPr="0098051A">
        <w:t xml:space="preserve"> </w:t>
      </w:r>
      <w:r w:rsidR="00284FAA" w:rsidRPr="0098051A">
        <w:t>o inventarizaci majetku a závazků. Periodická inventar</w:t>
      </w:r>
      <w:r w:rsidR="003474F5" w:rsidRPr="0098051A">
        <w:t xml:space="preserve">izace byla provedena ke dni </w:t>
      </w:r>
      <w:proofErr w:type="gramStart"/>
      <w:r w:rsidR="003474F5" w:rsidRPr="0098051A">
        <w:t>31.12.</w:t>
      </w:r>
      <w:r w:rsidR="00284FAA" w:rsidRPr="0098051A">
        <w:t>201</w:t>
      </w:r>
      <w:r w:rsidRPr="0098051A">
        <w:t>4</w:t>
      </w:r>
      <w:proofErr w:type="gramEnd"/>
      <w:r w:rsidR="00284FAA" w:rsidRPr="0098051A">
        <w:t xml:space="preserve">. Dílčí inventarizační komise, jmenované </w:t>
      </w:r>
      <w:r w:rsidR="00701FAD" w:rsidRPr="0098051A">
        <w:t xml:space="preserve">předsedou HIK (hlavní </w:t>
      </w:r>
      <w:r w:rsidR="00701FAD" w:rsidRPr="00666F88">
        <w:t xml:space="preserve">inventarizační komise), </w:t>
      </w:r>
      <w:r w:rsidR="003474F5" w:rsidRPr="00666F88">
        <w:t xml:space="preserve">provedly ve dnech </w:t>
      </w:r>
      <w:proofErr w:type="gramStart"/>
      <w:r w:rsidR="003474F5" w:rsidRPr="00666F88">
        <w:t>1.1</w:t>
      </w:r>
      <w:r w:rsidR="004A7095">
        <w:t>0</w:t>
      </w:r>
      <w:r w:rsidR="003474F5" w:rsidRPr="00666F88">
        <w:t>.</w:t>
      </w:r>
      <w:r w:rsidR="00284FAA" w:rsidRPr="00666F88">
        <w:t>201</w:t>
      </w:r>
      <w:r w:rsidR="004A7095">
        <w:t>4</w:t>
      </w:r>
      <w:proofErr w:type="gramEnd"/>
      <w:r w:rsidR="00284FAA" w:rsidRPr="00666F88">
        <w:t xml:space="preserve"> – </w:t>
      </w:r>
      <w:r w:rsidR="004A7095">
        <w:t>31.12.2014</w:t>
      </w:r>
      <w:r w:rsidR="00284FAA" w:rsidRPr="00666F88">
        <w:t xml:space="preserve"> fyzickou inventuru všeho dlouhodobého nehmotného majetku (DNM), drobného dlouhodobého nehmotného majetku (DDNM), dlouhodobého hmotného majetku (DHM), drobného dlouhodobého hmotného majetku (DDHM), ostatního evidovaného majetku (OEM</w:t>
      </w:r>
      <w:r w:rsidR="004A7095">
        <w:t>)</w:t>
      </w:r>
      <w:r w:rsidR="00D10570" w:rsidRPr="00666F88">
        <w:t xml:space="preserve"> k</w:t>
      </w:r>
      <w:r w:rsidR="00701FAD" w:rsidRPr="00666F88">
        <w:t xml:space="preserve"> rozhodnému</w:t>
      </w:r>
      <w:r w:rsidR="00D10570" w:rsidRPr="00666F88">
        <w:t xml:space="preserve"> dni </w:t>
      </w:r>
      <w:r w:rsidR="00701FAD" w:rsidRPr="00666F88">
        <w:t>(</w:t>
      </w:r>
      <w:r w:rsidR="004A7095">
        <w:t>30.9.2014</w:t>
      </w:r>
      <w:r w:rsidR="00701FAD" w:rsidRPr="00666F88">
        <w:t>)</w:t>
      </w:r>
      <w:r w:rsidR="00284FAA" w:rsidRPr="00666F88">
        <w:t xml:space="preserve">. Rozdílová inventura tohoto majetku byla provedena </w:t>
      </w:r>
      <w:r w:rsidR="00701FAD" w:rsidRPr="00666F88">
        <w:t>dokladově k rozvahovému</w:t>
      </w:r>
      <w:r w:rsidR="00284FAA" w:rsidRPr="00666F88">
        <w:t xml:space="preserve"> dni </w:t>
      </w:r>
      <w:r w:rsidR="00701FAD" w:rsidRPr="00666F88">
        <w:t>(</w:t>
      </w:r>
      <w:proofErr w:type="gramStart"/>
      <w:r w:rsidR="004A7095">
        <w:t>31.12.2014</w:t>
      </w:r>
      <w:proofErr w:type="gramEnd"/>
      <w:r w:rsidR="00701FAD" w:rsidRPr="00666F88">
        <w:t>)</w:t>
      </w:r>
      <w:r w:rsidR="00284FAA" w:rsidRPr="00666F88">
        <w:t xml:space="preserve">. Dokladová inventura ostatních majetkových účtů, pohledávek a závazků byla provedena </w:t>
      </w:r>
      <w:r w:rsidR="00701FAD" w:rsidRPr="00666F88">
        <w:t xml:space="preserve">k rozvahovému </w:t>
      </w:r>
      <w:r w:rsidR="00284FAA" w:rsidRPr="00666F88">
        <w:t xml:space="preserve">dni </w:t>
      </w:r>
      <w:r w:rsidR="00701FAD" w:rsidRPr="00666F88">
        <w:t>(</w:t>
      </w:r>
      <w:proofErr w:type="gramStart"/>
      <w:r w:rsidR="00284FAA" w:rsidRPr="00666F88">
        <w:t>31.12.201</w:t>
      </w:r>
      <w:r w:rsidR="004A7095">
        <w:t>4</w:t>
      </w:r>
      <w:proofErr w:type="gramEnd"/>
      <w:r w:rsidR="00701FAD" w:rsidRPr="00666F88">
        <w:t>)</w:t>
      </w:r>
      <w:r w:rsidR="00284FAA" w:rsidRPr="00666F88">
        <w:t>.</w:t>
      </w:r>
    </w:p>
    <w:p w:rsidR="00284FAA" w:rsidRPr="00666F88" w:rsidRDefault="00A94BEE" w:rsidP="005B2384">
      <w:pPr>
        <w:tabs>
          <w:tab w:val="left" w:pos="4536"/>
        </w:tabs>
        <w:ind w:firstLine="720"/>
        <w:jc w:val="both"/>
      </w:pPr>
      <w:r w:rsidRPr="00666F88">
        <w:t xml:space="preserve">Za správnost provedení inventarizace majetku a závazků v rámci střediska odpovídal vedoucí odboru příslušného střediska, který rovněž zajistil vypracování dílčí inventarizační zprávy za středisko. </w:t>
      </w:r>
      <w:r w:rsidR="00284FAA" w:rsidRPr="00666F88">
        <w:t xml:space="preserve">Pro potřeby inventarizace majetku a závazků </w:t>
      </w:r>
      <w:r w:rsidRPr="00666F88">
        <w:t xml:space="preserve">statutárního města Prostějova </w:t>
      </w:r>
      <w:r w:rsidR="00284FAA" w:rsidRPr="00666F88">
        <w:t>byla stanovena tato střediska:</w:t>
      </w:r>
    </w:p>
    <w:p w:rsidR="00284FAA" w:rsidRDefault="00284FAA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 w:rsidRPr="00666F88">
        <w:t xml:space="preserve">Odbor správy a zabezpečení </w:t>
      </w:r>
      <w:proofErr w:type="spellStart"/>
      <w:r w:rsidRPr="00666F88">
        <w:t>MMPv</w:t>
      </w:r>
      <w:proofErr w:type="spellEnd"/>
      <w:r w:rsidRPr="00666F88">
        <w:t xml:space="preserve"> (středisko 2</w:t>
      </w:r>
      <w:r w:rsidR="004A7095">
        <w:t>1</w:t>
      </w:r>
      <w:r w:rsidRPr="00666F88">
        <w:t>1),</w:t>
      </w:r>
    </w:p>
    <w:p w:rsidR="004A7095" w:rsidRPr="00666F88" w:rsidRDefault="004A7095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>
        <w:t xml:space="preserve">Odbor informačních technologií </w:t>
      </w:r>
      <w:proofErr w:type="spellStart"/>
      <w:r>
        <w:t>MMPv</w:t>
      </w:r>
      <w:proofErr w:type="spellEnd"/>
      <w:r>
        <w:t xml:space="preserve"> (středisko 215),</w:t>
      </w:r>
    </w:p>
    <w:p w:rsidR="00284FAA" w:rsidRPr="00666F88" w:rsidRDefault="00284FAA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 w:rsidRPr="00666F88">
        <w:t xml:space="preserve">Odbor správy a údržby majetku města </w:t>
      </w:r>
      <w:proofErr w:type="spellStart"/>
      <w:r w:rsidRPr="00666F88">
        <w:t>MMPv</w:t>
      </w:r>
      <w:proofErr w:type="spellEnd"/>
      <w:r w:rsidRPr="00666F88">
        <w:t xml:space="preserve"> (středisko </w:t>
      </w:r>
      <w:r w:rsidR="004A7095">
        <w:t>250</w:t>
      </w:r>
      <w:r w:rsidRPr="00666F88">
        <w:t>),</w:t>
      </w:r>
    </w:p>
    <w:p w:rsidR="00284FAA" w:rsidRPr="00666F88" w:rsidRDefault="00284FAA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 w:rsidRPr="00666F88">
        <w:t xml:space="preserve">Městská policie Prostějov (středisko </w:t>
      </w:r>
      <w:r w:rsidR="004A7095">
        <w:t>213</w:t>
      </w:r>
      <w:r w:rsidRPr="00666F88">
        <w:t>),</w:t>
      </w:r>
    </w:p>
    <w:p w:rsidR="00284FAA" w:rsidRPr="00666F88" w:rsidRDefault="00284FAA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 w:rsidRPr="00666F88">
        <w:t xml:space="preserve">Finanční odbor </w:t>
      </w:r>
      <w:proofErr w:type="spellStart"/>
      <w:r w:rsidRPr="00666F88">
        <w:t>MMPv</w:t>
      </w:r>
      <w:proofErr w:type="spellEnd"/>
      <w:r w:rsidR="00A94BEE" w:rsidRPr="00666F88">
        <w:t xml:space="preserve"> (středisko 270)</w:t>
      </w:r>
      <w:r w:rsidRPr="00666F88">
        <w:t xml:space="preserve">. </w:t>
      </w:r>
    </w:p>
    <w:p w:rsidR="003474F5" w:rsidRPr="00666F88" w:rsidRDefault="003474F5" w:rsidP="00380228">
      <w:pPr>
        <w:pStyle w:val="Nadpis3"/>
        <w:tabs>
          <w:tab w:val="left" w:pos="4536"/>
        </w:tabs>
        <w:spacing w:before="0" w:after="0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:rsidR="000E64B4" w:rsidRPr="004A7095" w:rsidRDefault="00A94BEE" w:rsidP="004A7095">
      <w:pPr>
        <w:rPr>
          <w:b/>
        </w:rPr>
      </w:pPr>
      <w:r w:rsidRPr="004A7095">
        <w:rPr>
          <w:b/>
        </w:rPr>
        <w:t>Informace o inventarizačních rozdílech a zúčtovatelných rozdílech</w:t>
      </w:r>
    </w:p>
    <w:p w:rsidR="00380228" w:rsidRPr="00666F88" w:rsidRDefault="00380228" w:rsidP="00380228">
      <w:pPr>
        <w:jc w:val="both"/>
        <w:rPr>
          <w:sz w:val="12"/>
          <w:szCs w:val="12"/>
        </w:rPr>
      </w:pP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Řešení schodků a mank – nebylo nutné, neřešeno.</w:t>
      </w: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Řešení inventarizačních přebytků a jejich ocenění – nebylo nutné, neřešeno.</w:t>
      </w: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Změny odpisových plánů – nebylo nutné, neřešeno.</w:t>
      </w: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Řešení návrhů na opravné položky majetku – nebylo nutné, neřešeno.</w:t>
      </w: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lastRenderedPageBreak/>
        <w:t>Schválení odpisů pohledávek a závazků – nebylo nutné, neřešeno.</w:t>
      </w: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Doplnění závazků z úroku z prodlení a penále, tvorba rezerv – nebylo nutné, neřešeno.</w:t>
      </w:r>
    </w:p>
    <w:p w:rsidR="000E64B4" w:rsidRPr="00666F88" w:rsidRDefault="000E64B4" w:rsidP="00380228">
      <w:pPr>
        <w:ind w:firstLine="720"/>
        <w:jc w:val="both"/>
      </w:pPr>
    </w:p>
    <w:p w:rsidR="00C56E81" w:rsidRPr="00666F88" w:rsidRDefault="00C56E81" w:rsidP="00D10570">
      <w:pPr>
        <w:ind w:firstLine="720"/>
        <w:jc w:val="both"/>
      </w:pPr>
      <w:r w:rsidRPr="00666F88">
        <w:t xml:space="preserve">Přehled hodnot vybraných jednotlivých majetkových účtů </w:t>
      </w:r>
      <w:r w:rsidR="00A94BEE" w:rsidRPr="00666F88">
        <w:t xml:space="preserve">statutárního </w:t>
      </w:r>
      <w:r w:rsidRPr="00666F88">
        <w:t>města Prostějova a PO je uveden dále v materiálu, v kapitole</w:t>
      </w:r>
      <w:r w:rsidRPr="00666F88">
        <w:rPr>
          <w:b/>
          <w:bCs/>
        </w:rPr>
        <w:t xml:space="preserve"> ”Majetek </w:t>
      </w:r>
      <w:r w:rsidR="00A94BEE" w:rsidRPr="00666F88">
        <w:rPr>
          <w:b/>
          <w:bCs/>
        </w:rPr>
        <w:t xml:space="preserve">statutárního </w:t>
      </w:r>
      <w:r w:rsidRPr="00666F88">
        <w:rPr>
          <w:b/>
          <w:bCs/>
        </w:rPr>
        <w:t xml:space="preserve">města Prostějova a jím zřízených příspěvkových organizací (vybrané </w:t>
      </w:r>
      <w:proofErr w:type="spellStart"/>
      <w:r w:rsidRPr="00666F88">
        <w:rPr>
          <w:b/>
          <w:bCs/>
        </w:rPr>
        <w:t>rozvažné</w:t>
      </w:r>
      <w:proofErr w:type="spellEnd"/>
      <w:r w:rsidRPr="00666F88">
        <w:rPr>
          <w:b/>
          <w:bCs/>
        </w:rPr>
        <w:t xml:space="preserve"> ukazatele)”</w:t>
      </w:r>
      <w:r w:rsidRPr="00666F88">
        <w:t>. Kompletní materiály o provedení inventarizace k 31.12.20</w:t>
      </w:r>
      <w:r w:rsidR="00D03D09" w:rsidRPr="00666F88">
        <w:t>1</w:t>
      </w:r>
      <w:r w:rsidR="004A7095">
        <w:t>4</w:t>
      </w:r>
      <w:r w:rsidRPr="00666F88">
        <w:t xml:space="preserve"> (</w:t>
      </w:r>
      <w:r w:rsidR="00D11ED6" w:rsidRPr="00666F88">
        <w:t>Závěrečná inventarizační zpráva z provedené inventarizace majetku a závazků za rok 201</w:t>
      </w:r>
      <w:r w:rsidR="00D71B96">
        <w:t>4</w:t>
      </w:r>
      <w:r w:rsidR="00A94BEE" w:rsidRPr="00666F88">
        <w:t>, Přílohy k závěrečné inve</w:t>
      </w:r>
      <w:r w:rsidR="00D11ED6" w:rsidRPr="00666F88">
        <w:t>ntarizační zprávě</w:t>
      </w:r>
      <w:r w:rsidRPr="00666F88">
        <w:t xml:space="preserve">) jsou uloženy na </w:t>
      </w:r>
      <w:proofErr w:type="gramStart"/>
      <w:r w:rsidRPr="00666F88">
        <w:t>FO</w:t>
      </w:r>
      <w:proofErr w:type="gramEnd"/>
      <w:r w:rsidRPr="00666F88">
        <w:t xml:space="preserve"> </w:t>
      </w:r>
      <w:proofErr w:type="spellStart"/>
      <w:r w:rsidR="00380228" w:rsidRPr="00666F88">
        <w:t>MMPv</w:t>
      </w:r>
      <w:proofErr w:type="spellEnd"/>
      <w:r w:rsidR="0064191D" w:rsidRPr="00666F88">
        <w:t xml:space="preserve"> </w:t>
      </w:r>
      <w:r w:rsidRPr="00666F88">
        <w:t xml:space="preserve">a jsou k dispozici k nahlédnutí orgánům města. Kopie </w:t>
      </w:r>
      <w:r w:rsidR="00D71B96">
        <w:t>„</w:t>
      </w:r>
      <w:r w:rsidR="00D11ED6" w:rsidRPr="00666F88">
        <w:t>Závěrečné inventarizační zprávy z provedené inventarizace majetku a závazků za rok 201</w:t>
      </w:r>
      <w:r w:rsidR="00D71B96">
        <w:t>4“</w:t>
      </w:r>
      <w:r w:rsidR="00D11ED6" w:rsidRPr="00666F88">
        <w:t xml:space="preserve"> </w:t>
      </w:r>
      <w:r w:rsidRPr="00666F88">
        <w:t xml:space="preserve">je přiložena pro projednání závěrečného účtu v orgánech města jako nedílná součást </w:t>
      </w:r>
      <w:r w:rsidR="00CE3518" w:rsidRPr="00666F88">
        <w:t>závěrečného účtu</w:t>
      </w:r>
      <w:r w:rsidRPr="00666F88">
        <w:t>.</w:t>
      </w:r>
    </w:p>
    <w:p w:rsidR="00C56E81" w:rsidRPr="00666F88" w:rsidRDefault="00C56E81" w:rsidP="00380228">
      <w:pPr>
        <w:pStyle w:val="Zkladntext3"/>
        <w:shd w:val="clear" w:color="auto" w:fill="auto"/>
        <w:ind w:left="567" w:hanging="567"/>
        <w:rPr>
          <w:rFonts w:ascii="Times New Roman" w:hAnsi="Times New Roman" w:cs="Times New Roman"/>
          <w:b w:val="0"/>
          <w:bCs w:val="0"/>
          <w:sz w:val="20"/>
          <w:szCs w:val="18"/>
        </w:rPr>
      </w:pPr>
    </w:p>
    <w:p w:rsidR="00F75DBC" w:rsidRPr="00666F88" w:rsidRDefault="00F75DBC" w:rsidP="00205B60">
      <w:pPr>
        <w:pStyle w:val="Zkladntext3"/>
        <w:shd w:val="clear" w:color="auto" w:fill="auto"/>
        <w:ind w:left="567" w:hanging="567"/>
        <w:rPr>
          <w:rFonts w:ascii="Times New Roman" w:hAnsi="Times New Roman" w:cs="Times New Roman"/>
          <w:b w:val="0"/>
          <w:bCs w:val="0"/>
          <w:sz w:val="20"/>
          <w:szCs w:val="18"/>
        </w:rPr>
      </w:pPr>
    </w:p>
    <w:p w:rsidR="00284FAA" w:rsidRPr="00666F88" w:rsidRDefault="00284FAA">
      <w:pPr>
        <w:pStyle w:val="Zkladntext3"/>
        <w:shd w:val="clear" w:color="auto" w:fill="auto"/>
        <w:ind w:left="567" w:hanging="567"/>
        <w:rPr>
          <w:rFonts w:ascii="Times New Roman" w:hAnsi="Times New Roman" w:cs="Times New Roman"/>
          <w:b w:val="0"/>
          <w:bCs w:val="0"/>
          <w:sz w:val="20"/>
          <w:szCs w:val="18"/>
        </w:rPr>
      </w:pPr>
    </w:p>
    <w:sectPr w:rsidR="00284FAA" w:rsidRPr="00666F88" w:rsidSect="0050058B">
      <w:footerReference w:type="default" r:id="rId9"/>
      <w:pgSz w:w="12242" w:h="15842"/>
      <w:pgMar w:top="1134" w:right="1418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73" w:rsidRDefault="00972C73">
      <w:r>
        <w:separator/>
      </w:r>
    </w:p>
  </w:endnote>
  <w:endnote w:type="continuationSeparator" w:id="0">
    <w:p w:rsidR="00972C73" w:rsidRDefault="0097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1D" w:rsidRPr="00081BAC" w:rsidRDefault="0055761D" w:rsidP="0055285F">
    <w:pPr>
      <w:pStyle w:val="Zpat"/>
      <w:framePr w:wrap="auto" w:vAnchor="text" w:hAnchor="margin" w:xAlign="center" w:y="1"/>
      <w:rPr>
        <w:rStyle w:val="slostrnky"/>
        <w:sz w:val="16"/>
        <w:szCs w:val="16"/>
      </w:rPr>
    </w:pPr>
    <w:r w:rsidRPr="00081BAC">
      <w:rPr>
        <w:rStyle w:val="slostrnky"/>
        <w:sz w:val="16"/>
        <w:szCs w:val="16"/>
      </w:rPr>
      <w:fldChar w:fldCharType="begin"/>
    </w:r>
    <w:r w:rsidRPr="00081BAC">
      <w:rPr>
        <w:rStyle w:val="slostrnky"/>
        <w:sz w:val="16"/>
        <w:szCs w:val="16"/>
      </w:rPr>
      <w:instrText xml:space="preserve">PAGE  </w:instrText>
    </w:r>
    <w:r w:rsidRPr="00081BAC">
      <w:rPr>
        <w:rStyle w:val="slostrnky"/>
        <w:sz w:val="16"/>
        <w:szCs w:val="16"/>
      </w:rPr>
      <w:fldChar w:fldCharType="separate"/>
    </w:r>
    <w:r w:rsidR="00FF6CD7">
      <w:rPr>
        <w:rStyle w:val="slostrnky"/>
        <w:noProof/>
        <w:sz w:val="16"/>
        <w:szCs w:val="16"/>
      </w:rPr>
      <w:t>14</w:t>
    </w:r>
    <w:r w:rsidRPr="00081BAC">
      <w:rPr>
        <w:rStyle w:val="slostrnky"/>
        <w:sz w:val="16"/>
        <w:szCs w:val="16"/>
      </w:rPr>
      <w:fldChar w:fldCharType="end"/>
    </w:r>
  </w:p>
  <w:p w:rsidR="0055761D" w:rsidRDefault="0055761D">
    <w:pPr>
      <w:pStyle w:val="Zpat"/>
    </w:pPr>
  </w:p>
  <w:p w:rsidR="0055761D" w:rsidRDefault="005576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73" w:rsidRDefault="00972C73">
      <w:r>
        <w:separator/>
      </w:r>
    </w:p>
  </w:footnote>
  <w:footnote w:type="continuationSeparator" w:id="0">
    <w:p w:rsidR="00972C73" w:rsidRDefault="0097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0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4143CE"/>
    <w:multiLevelType w:val="hybridMultilevel"/>
    <w:tmpl w:val="0C9041D8"/>
    <w:lvl w:ilvl="0" w:tplc="E0C202C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>
    <w:nsid w:val="0670141A"/>
    <w:multiLevelType w:val="hybridMultilevel"/>
    <w:tmpl w:val="EFFE9C4E"/>
    <w:lvl w:ilvl="0" w:tplc="00BA5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412A"/>
    <w:multiLevelType w:val="hybridMultilevel"/>
    <w:tmpl w:val="5A446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4AE"/>
    <w:multiLevelType w:val="hybridMultilevel"/>
    <w:tmpl w:val="2B2C87D8"/>
    <w:lvl w:ilvl="0" w:tplc="96B8924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826C0A"/>
    <w:multiLevelType w:val="hybridMultilevel"/>
    <w:tmpl w:val="3B941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6C23"/>
    <w:multiLevelType w:val="multilevel"/>
    <w:tmpl w:val="C65A19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>
    <w:nsid w:val="18B9279B"/>
    <w:multiLevelType w:val="hybridMultilevel"/>
    <w:tmpl w:val="28745F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806F55"/>
    <w:multiLevelType w:val="hybridMultilevel"/>
    <w:tmpl w:val="C01ED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4DF62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9145D"/>
    <w:multiLevelType w:val="hybridMultilevel"/>
    <w:tmpl w:val="E8E2DBD4"/>
    <w:lvl w:ilvl="0" w:tplc="D284D11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20812408"/>
    <w:multiLevelType w:val="hybridMultilevel"/>
    <w:tmpl w:val="09984F52"/>
    <w:lvl w:ilvl="0" w:tplc="6FBE2CA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7401D"/>
    <w:multiLevelType w:val="hybridMultilevel"/>
    <w:tmpl w:val="D86C65FA"/>
    <w:lvl w:ilvl="0" w:tplc="96B892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E3067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970605E"/>
    <w:multiLevelType w:val="hybridMultilevel"/>
    <w:tmpl w:val="0C32482C"/>
    <w:lvl w:ilvl="0" w:tplc="1F6A9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68BA"/>
    <w:multiLevelType w:val="hybridMultilevel"/>
    <w:tmpl w:val="E878D228"/>
    <w:lvl w:ilvl="0" w:tplc="B4B03D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>
    <w:nsid w:val="37F90F2D"/>
    <w:multiLevelType w:val="singleLevel"/>
    <w:tmpl w:val="E5883C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AC0FC0"/>
    <w:multiLevelType w:val="hybridMultilevel"/>
    <w:tmpl w:val="DC0EC6B4"/>
    <w:lvl w:ilvl="0" w:tplc="35520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43BE9"/>
    <w:multiLevelType w:val="multilevel"/>
    <w:tmpl w:val="C65A19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">
    <w:nsid w:val="404D18B0"/>
    <w:multiLevelType w:val="hybridMultilevel"/>
    <w:tmpl w:val="C65A19E8"/>
    <w:lvl w:ilvl="0" w:tplc="B4B03D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>
    <w:nsid w:val="49E92D40"/>
    <w:multiLevelType w:val="hybridMultilevel"/>
    <w:tmpl w:val="5344D2EA"/>
    <w:lvl w:ilvl="0" w:tplc="DE6A1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C6E3E"/>
    <w:multiLevelType w:val="hybridMultilevel"/>
    <w:tmpl w:val="38D2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20340"/>
    <w:multiLevelType w:val="hybridMultilevel"/>
    <w:tmpl w:val="C3284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73031D"/>
    <w:multiLevelType w:val="hybridMultilevel"/>
    <w:tmpl w:val="3566F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530A5"/>
    <w:multiLevelType w:val="hybridMultilevel"/>
    <w:tmpl w:val="BF5CD3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734A29"/>
    <w:multiLevelType w:val="hybridMultilevel"/>
    <w:tmpl w:val="9076646E"/>
    <w:lvl w:ilvl="0" w:tplc="6FBE2CA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5">
    <w:nsid w:val="663B37DF"/>
    <w:multiLevelType w:val="hybridMultilevel"/>
    <w:tmpl w:val="52D07B12"/>
    <w:lvl w:ilvl="0" w:tplc="96B892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BB4432"/>
    <w:multiLevelType w:val="multilevel"/>
    <w:tmpl w:val="E8E2DBD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7090192E"/>
    <w:multiLevelType w:val="hybridMultilevel"/>
    <w:tmpl w:val="B4CCA894"/>
    <w:lvl w:ilvl="0" w:tplc="D43A51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076D5"/>
    <w:multiLevelType w:val="hybridMultilevel"/>
    <w:tmpl w:val="F9A8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25"/>
  </w:num>
  <w:num w:numId="6">
    <w:abstractNumId w:val="18"/>
  </w:num>
  <w:num w:numId="7">
    <w:abstractNumId w:val="6"/>
  </w:num>
  <w:num w:numId="8">
    <w:abstractNumId w:val="24"/>
  </w:num>
  <w:num w:numId="9">
    <w:abstractNumId w:val="8"/>
  </w:num>
  <w:num w:numId="10">
    <w:abstractNumId w:val="10"/>
  </w:num>
  <w:num w:numId="11">
    <w:abstractNumId w:val="17"/>
  </w:num>
  <w:num w:numId="12">
    <w:abstractNumId w:val="9"/>
  </w:num>
  <w:num w:numId="13">
    <w:abstractNumId w:val="26"/>
  </w:num>
  <w:num w:numId="14">
    <w:abstractNumId w:val="1"/>
  </w:num>
  <w:num w:numId="15">
    <w:abstractNumId w:val="14"/>
  </w:num>
  <w:num w:numId="16">
    <w:abstractNumId w:val="22"/>
  </w:num>
  <w:num w:numId="17">
    <w:abstractNumId w:val="27"/>
  </w:num>
  <w:num w:numId="18">
    <w:abstractNumId w:val="1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"/>
  </w:num>
  <w:num w:numId="23">
    <w:abstractNumId w:val="16"/>
  </w:num>
  <w:num w:numId="24">
    <w:abstractNumId w:val="15"/>
  </w:num>
  <w:num w:numId="25">
    <w:abstractNumId w:val="20"/>
  </w:num>
  <w:num w:numId="26">
    <w:abstractNumId w:val="19"/>
  </w:num>
  <w:num w:numId="27">
    <w:abstractNumId w:val="3"/>
  </w:num>
  <w:num w:numId="28">
    <w:abstractNumId w:val="28"/>
  </w:num>
  <w:num w:numId="29">
    <w:abstractNumId w:val="7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9D"/>
    <w:rsid w:val="00000B7C"/>
    <w:rsid w:val="00004FC1"/>
    <w:rsid w:val="000066E4"/>
    <w:rsid w:val="00011E5F"/>
    <w:rsid w:val="00020380"/>
    <w:rsid w:val="00024698"/>
    <w:rsid w:val="00026E15"/>
    <w:rsid w:val="00030AD4"/>
    <w:rsid w:val="00030E18"/>
    <w:rsid w:val="000317DB"/>
    <w:rsid w:val="000415FF"/>
    <w:rsid w:val="00046C2E"/>
    <w:rsid w:val="00050143"/>
    <w:rsid w:val="0005453D"/>
    <w:rsid w:val="00055325"/>
    <w:rsid w:val="00055ECE"/>
    <w:rsid w:val="0005708C"/>
    <w:rsid w:val="00057EF9"/>
    <w:rsid w:val="00057F08"/>
    <w:rsid w:val="0006352F"/>
    <w:rsid w:val="00065DEB"/>
    <w:rsid w:val="00065EB2"/>
    <w:rsid w:val="0007053B"/>
    <w:rsid w:val="00072754"/>
    <w:rsid w:val="000732AE"/>
    <w:rsid w:val="00075619"/>
    <w:rsid w:val="00075BA1"/>
    <w:rsid w:val="00080A42"/>
    <w:rsid w:val="00081BAC"/>
    <w:rsid w:val="0008250F"/>
    <w:rsid w:val="00087249"/>
    <w:rsid w:val="00095E53"/>
    <w:rsid w:val="0009721B"/>
    <w:rsid w:val="000A0369"/>
    <w:rsid w:val="000A13A0"/>
    <w:rsid w:val="000A2E88"/>
    <w:rsid w:val="000A3260"/>
    <w:rsid w:val="000A5C37"/>
    <w:rsid w:val="000B2510"/>
    <w:rsid w:val="000B3E15"/>
    <w:rsid w:val="000B57A7"/>
    <w:rsid w:val="000C30E6"/>
    <w:rsid w:val="000C757A"/>
    <w:rsid w:val="000C7C84"/>
    <w:rsid w:val="000D3931"/>
    <w:rsid w:val="000D4F9E"/>
    <w:rsid w:val="000E64B4"/>
    <w:rsid w:val="000E72D1"/>
    <w:rsid w:val="000F039D"/>
    <w:rsid w:val="00107570"/>
    <w:rsid w:val="001075E9"/>
    <w:rsid w:val="00107C04"/>
    <w:rsid w:val="00107D2D"/>
    <w:rsid w:val="001100C8"/>
    <w:rsid w:val="00110FE2"/>
    <w:rsid w:val="00113513"/>
    <w:rsid w:val="00114215"/>
    <w:rsid w:val="0012346A"/>
    <w:rsid w:val="00125A92"/>
    <w:rsid w:val="00127F4C"/>
    <w:rsid w:val="0013695C"/>
    <w:rsid w:val="00141D98"/>
    <w:rsid w:val="00143010"/>
    <w:rsid w:val="00143833"/>
    <w:rsid w:val="00147BE7"/>
    <w:rsid w:val="00150C79"/>
    <w:rsid w:val="00150F7F"/>
    <w:rsid w:val="00151EB5"/>
    <w:rsid w:val="001626D7"/>
    <w:rsid w:val="0016517C"/>
    <w:rsid w:val="0016736E"/>
    <w:rsid w:val="00171AA2"/>
    <w:rsid w:val="001752D8"/>
    <w:rsid w:val="0018544D"/>
    <w:rsid w:val="00185B0A"/>
    <w:rsid w:val="0018776B"/>
    <w:rsid w:val="001907E9"/>
    <w:rsid w:val="001941D8"/>
    <w:rsid w:val="001A1614"/>
    <w:rsid w:val="001A2908"/>
    <w:rsid w:val="001A6443"/>
    <w:rsid w:val="001A6860"/>
    <w:rsid w:val="001B16B6"/>
    <w:rsid w:val="001B3DFC"/>
    <w:rsid w:val="001B5397"/>
    <w:rsid w:val="001B7F90"/>
    <w:rsid w:val="001C31B9"/>
    <w:rsid w:val="001C3F14"/>
    <w:rsid w:val="001C3F46"/>
    <w:rsid w:val="001C4EF0"/>
    <w:rsid w:val="001C5720"/>
    <w:rsid w:val="001D3880"/>
    <w:rsid w:val="001D685D"/>
    <w:rsid w:val="001D6937"/>
    <w:rsid w:val="001D7A7A"/>
    <w:rsid w:val="001E033D"/>
    <w:rsid w:val="001E30DD"/>
    <w:rsid w:val="001F2C33"/>
    <w:rsid w:val="001F54A2"/>
    <w:rsid w:val="001F698C"/>
    <w:rsid w:val="001F6F60"/>
    <w:rsid w:val="00200DDF"/>
    <w:rsid w:val="0020201A"/>
    <w:rsid w:val="00202A35"/>
    <w:rsid w:val="00205B60"/>
    <w:rsid w:val="002146D5"/>
    <w:rsid w:val="00214F9D"/>
    <w:rsid w:val="00220732"/>
    <w:rsid w:val="00221AF6"/>
    <w:rsid w:val="0022348F"/>
    <w:rsid w:val="00232801"/>
    <w:rsid w:val="0023366E"/>
    <w:rsid w:val="00233D2C"/>
    <w:rsid w:val="002374B9"/>
    <w:rsid w:val="00241B65"/>
    <w:rsid w:val="00242E29"/>
    <w:rsid w:val="00245FDC"/>
    <w:rsid w:val="00247191"/>
    <w:rsid w:val="00250574"/>
    <w:rsid w:val="00254C4F"/>
    <w:rsid w:val="0025504C"/>
    <w:rsid w:val="00256CB5"/>
    <w:rsid w:val="002654B0"/>
    <w:rsid w:val="002675C4"/>
    <w:rsid w:val="002702D1"/>
    <w:rsid w:val="00270546"/>
    <w:rsid w:val="0027080C"/>
    <w:rsid w:val="0027171D"/>
    <w:rsid w:val="00274688"/>
    <w:rsid w:val="00276070"/>
    <w:rsid w:val="00284FAA"/>
    <w:rsid w:val="002901E7"/>
    <w:rsid w:val="00291200"/>
    <w:rsid w:val="002932B2"/>
    <w:rsid w:val="002A1055"/>
    <w:rsid w:val="002A156C"/>
    <w:rsid w:val="002A7BB0"/>
    <w:rsid w:val="002B1770"/>
    <w:rsid w:val="002B67A0"/>
    <w:rsid w:val="002B7475"/>
    <w:rsid w:val="002B774D"/>
    <w:rsid w:val="002C2C65"/>
    <w:rsid w:val="002C4533"/>
    <w:rsid w:val="002C565C"/>
    <w:rsid w:val="002C6639"/>
    <w:rsid w:val="002D0B3A"/>
    <w:rsid w:val="002D0B5B"/>
    <w:rsid w:val="002D5B3D"/>
    <w:rsid w:val="002E25E9"/>
    <w:rsid w:val="002E3EE4"/>
    <w:rsid w:val="002E4AEB"/>
    <w:rsid w:val="002E7465"/>
    <w:rsid w:val="002F00FE"/>
    <w:rsid w:val="002F0D33"/>
    <w:rsid w:val="0030140F"/>
    <w:rsid w:val="003107AE"/>
    <w:rsid w:val="00316072"/>
    <w:rsid w:val="003166A6"/>
    <w:rsid w:val="00321844"/>
    <w:rsid w:val="003220EB"/>
    <w:rsid w:val="00323791"/>
    <w:rsid w:val="00326066"/>
    <w:rsid w:val="003278DC"/>
    <w:rsid w:val="00334A9E"/>
    <w:rsid w:val="003370A6"/>
    <w:rsid w:val="00340710"/>
    <w:rsid w:val="0034316A"/>
    <w:rsid w:val="00343CDC"/>
    <w:rsid w:val="003463FF"/>
    <w:rsid w:val="003474F5"/>
    <w:rsid w:val="00351E86"/>
    <w:rsid w:val="0035420F"/>
    <w:rsid w:val="0035552E"/>
    <w:rsid w:val="00357E8B"/>
    <w:rsid w:val="00361395"/>
    <w:rsid w:val="00361CC8"/>
    <w:rsid w:val="003649A5"/>
    <w:rsid w:val="00366B0A"/>
    <w:rsid w:val="00372261"/>
    <w:rsid w:val="00380228"/>
    <w:rsid w:val="00381E5F"/>
    <w:rsid w:val="00383076"/>
    <w:rsid w:val="00383B08"/>
    <w:rsid w:val="00385443"/>
    <w:rsid w:val="0038693E"/>
    <w:rsid w:val="00386BDC"/>
    <w:rsid w:val="00390D15"/>
    <w:rsid w:val="00391B9A"/>
    <w:rsid w:val="00393C4E"/>
    <w:rsid w:val="003A0FF0"/>
    <w:rsid w:val="003A1447"/>
    <w:rsid w:val="003A16D6"/>
    <w:rsid w:val="003A1F58"/>
    <w:rsid w:val="003A396F"/>
    <w:rsid w:val="003A7864"/>
    <w:rsid w:val="003B6E80"/>
    <w:rsid w:val="003C0504"/>
    <w:rsid w:val="003C3F17"/>
    <w:rsid w:val="003D23AC"/>
    <w:rsid w:val="003D3623"/>
    <w:rsid w:val="003D4A18"/>
    <w:rsid w:val="003D5128"/>
    <w:rsid w:val="003D548A"/>
    <w:rsid w:val="003D61D6"/>
    <w:rsid w:val="003E009C"/>
    <w:rsid w:val="003E0264"/>
    <w:rsid w:val="003E29B8"/>
    <w:rsid w:val="003E5B4B"/>
    <w:rsid w:val="003E731B"/>
    <w:rsid w:val="003F05F3"/>
    <w:rsid w:val="003F756A"/>
    <w:rsid w:val="003F7961"/>
    <w:rsid w:val="003F7AAA"/>
    <w:rsid w:val="00417652"/>
    <w:rsid w:val="00421639"/>
    <w:rsid w:val="00421835"/>
    <w:rsid w:val="00424C2C"/>
    <w:rsid w:val="004262AD"/>
    <w:rsid w:val="004323FD"/>
    <w:rsid w:val="00432ACF"/>
    <w:rsid w:val="00435689"/>
    <w:rsid w:val="0044152E"/>
    <w:rsid w:val="0044226C"/>
    <w:rsid w:val="00442A9E"/>
    <w:rsid w:val="00443458"/>
    <w:rsid w:val="00444A3B"/>
    <w:rsid w:val="00446526"/>
    <w:rsid w:val="00450514"/>
    <w:rsid w:val="00451EB7"/>
    <w:rsid w:val="0045292E"/>
    <w:rsid w:val="00460829"/>
    <w:rsid w:val="00465893"/>
    <w:rsid w:val="00471844"/>
    <w:rsid w:val="00474377"/>
    <w:rsid w:val="00475702"/>
    <w:rsid w:val="00483E2C"/>
    <w:rsid w:val="004851E4"/>
    <w:rsid w:val="004976C9"/>
    <w:rsid w:val="004A3E7D"/>
    <w:rsid w:val="004A50CE"/>
    <w:rsid w:val="004A6A7C"/>
    <w:rsid w:val="004A7095"/>
    <w:rsid w:val="004A7786"/>
    <w:rsid w:val="004A786D"/>
    <w:rsid w:val="004B0FF2"/>
    <w:rsid w:val="004B397C"/>
    <w:rsid w:val="004B3E7B"/>
    <w:rsid w:val="004B448F"/>
    <w:rsid w:val="004B5A48"/>
    <w:rsid w:val="004C116A"/>
    <w:rsid w:val="004C319C"/>
    <w:rsid w:val="004C34AA"/>
    <w:rsid w:val="004C684B"/>
    <w:rsid w:val="004C69B3"/>
    <w:rsid w:val="004D083A"/>
    <w:rsid w:val="004D3E16"/>
    <w:rsid w:val="004D5E34"/>
    <w:rsid w:val="004E673D"/>
    <w:rsid w:val="004E773B"/>
    <w:rsid w:val="004E7759"/>
    <w:rsid w:val="004F13DA"/>
    <w:rsid w:val="004F48C4"/>
    <w:rsid w:val="004F575A"/>
    <w:rsid w:val="004F6631"/>
    <w:rsid w:val="004F722C"/>
    <w:rsid w:val="004F79E1"/>
    <w:rsid w:val="0050058B"/>
    <w:rsid w:val="005016A8"/>
    <w:rsid w:val="00506239"/>
    <w:rsid w:val="005154CF"/>
    <w:rsid w:val="0051656A"/>
    <w:rsid w:val="00516B1C"/>
    <w:rsid w:val="00517828"/>
    <w:rsid w:val="00520188"/>
    <w:rsid w:val="005217AF"/>
    <w:rsid w:val="00521C9D"/>
    <w:rsid w:val="00524FF6"/>
    <w:rsid w:val="0053156F"/>
    <w:rsid w:val="005317F4"/>
    <w:rsid w:val="005323EB"/>
    <w:rsid w:val="00532F83"/>
    <w:rsid w:val="00533226"/>
    <w:rsid w:val="005334E6"/>
    <w:rsid w:val="00533FBE"/>
    <w:rsid w:val="005350DF"/>
    <w:rsid w:val="00536AAB"/>
    <w:rsid w:val="005457AB"/>
    <w:rsid w:val="00546E7D"/>
    <w:rsid w:val="0055055B"/>
    <w:rsid w:val="005516FB"/>
    <w:rsid w:val="00551867"/>
    <w:rsid w:val="00551C94"/>
    <w:rsid w:val="0055285F"/>
    <w:rsid w:val="0055761D"/>
    <w:rsid w:val="00561E1B"/>
    <w:rsid w:val="00562569"/>
    <w:rsid w:val="00563278"/>
    <w:rsid w:val="00563E47"/>
    <w:rsid w:val="00566A3B"/>
    <w:rsid w:val="005676F9"/>
    <w:rsid w:val="00573EF7"/>
    <w:rsid w:val="00574730"/>
    <w:rsid w:val="005764B3"/>
    <w:rsid w:val="00581D8F"/>
    <w:rsid w:val="00582A5F"/>
    <w:rsid w:val="00583712"/>
    <w:rsid w:val="005875B3"/>
    <w:rsid w:val="00587E37"/>
    <w:rsid w:val="00597999"/>
    <w:rsid w:val="005A1583"/>
    <w:rsid w:val="005A18CF"/>
    <w:rsid w:val="005A2EF0"/>
    <w:rsid w:val="005A63E9"/>
    <w:rsid w:val="005A6C60"/>
    <w:rsid w:val="005B06BA"/>
    <w:rsid w:val="005B2384"/>
    <w:rsid w:val="005B36ED"/>
    <w:rsid w:val="005B5120"/>
    <w:rsid w:val="005B6122"/>
    <w:rsid w:val="005B65C9"/>
    <w:rsid w:val="005C115F"/>
    <w:rsid w:val="005D119A"/>
    <w:rsid w:val="005D26CE"/>
    <w:rsid w:val="005D333D"/>
    <w:rsid w:val="005D4D86"/>
    <w:rsid w:val="005D6CEE"/>
    <w:rsid w:val="005D6F59"/>
    <w:rsid w:val="005D7EA1"/>
    <w:rsid w:val="005E1D33"/>
    <w:rsid w:val="005F4879"/>
    <w:rsid w:val="005F553F"/>
    <w:rsid w:val="00601A90"/>
    <w:rsid w:val="0060285D"/>
    <w:rsid w:val="00607A5F"/>
    <w:rsid w:val="006118E5"/>
    <w:rsid w:val="00611E70"/>
    <w:rsid w:val="00613E29"/>
    <w:rsid w:val="00613F85"/>
    <w:rsid w:val="006155EB"/>
    <w:rsid w:val="0061672E"/>
    <w:rsid w:val="0061785C"/>
    <w:rsid w:val="00620296"/>
    <w:rsid w:val="006260D9"/>
    <w:rsid w:val="0062688E"/>
    <w:rsid w:val="00626C2F"/>
    <w:rsid w:val="00633FBB"/>
    <w:rsid w:val="0064028A"/>
    <w:rsid w:val="0064064D"/>
    <w:rsid w:val="00641882"/>
    <w:rsid w:val="0064191D"/>
    <w:rsid w:val="00643E25"/>
    <w:rsid w:val="00644B84"/>
    <w:rsid w:val="00645E19"/>
    <w:rsid w:val="00650DD7"/>
    <w:rsid w:val="00652B8E"/>
    <w:rsid w:val="00653136"/>
    <w:rsid w:val="00654465"/>
    <w:rsid w:val="0065640F"/>
    <w:rsid w:val="0065795C"/>
    <w:rsid w:val="00661C6C"/>
    <w:rsid w:val="00662577"/>
    <w:rsid w:val="006637A1"/>
    <w:rsid w:val="00663E5B"/>
    <w:rsid w:val="00666F88"/>
    <w:rsid w:val="006670E9"/>
    <w:rsid w:val="00667388"/>
    <w:rsid w:val="00667ACD"/>
    <w:rsid w:val="0067221D"/>
    <w:rsid w:val="00674B7F"/>
    <w:rsid w:val="00676491"/>
    <w:rsid w:val="0067786E"/>
    <w:rsid w:val="00677C0D"/>
    <w:rsid w:val="00684C3D"/>
    <w:rsid w:val="00694A64"/>
    <w:rsid w:val="006A796F"/>
    <w:rsid w:val="006B0E53"/>
    <w:rsid w:val="006B1AEF"/>
    <w:rsid w:val="006B300E"/>
    <w:rsid w:val="006B55DA"/>
    <w:rsid w:val="006B584B"/>
    <w:rsid w:val="006B63FB"/>
    <w:rsid w:val="006C150C"/>
    <w:rsid w:val="006C2BA3"/>
    <w:rsid w:val="006C3346"/>
    <w:rsid w:val="006D0C9D"/>
    <w:rsid w:val="006D0FC1"/>
    <w:rsid w:val="006D37D7"/>
    <w:rsid w:val="006D6421"/>
    <w:rsid w:val="006D67AE"/>
    <w:rsid w:val="006E118A"/>
    <w:rsid w:val="006F4B10"/>
    <w:rsid w:val="00701FAD"/>
    <w:rsid w:val="00702C45"/>
    <w:rsid w:val="007038CD"/>
    <w:rsid w:val="007115DF"/>
    <w:rsid w:val="00715505"/>
    <w:rsid w:val="007356B5"/>
    <w:rsid w:val="00744AB9"/>
    <w:rsid w:val="00745BF4"/>
    <w:rsid w:val="00746568"/>
    <w:rsid w:val="0075198E"/>
    <w:rsid w:val="00752147"/>
    <w:rsid w:val="00752FF2"/>
    <w:rsid w:val="00754258"/>
    <w:rsid w:val="0075586A"/>
    <w:rsid w:val="00755924"/>
    <w:rsid w:val="007605E5"/>
    <w:rsid w:val="00766667"/>
    <w:rsid w:val="00766FBC"/>
    <w:rsid w:val="00774A44"/>
    <w:rsid w:val="00777A51"/>
    <w:rsid w:val="00780973"/>
    <w:rsid w:val="00780F2B"/>
    <w:rsid w:val="007815E2"/>
    <w:rsid w:val="00784714"/>
    <w:rsid w:val="00786419"/>
    <w:rsid w:val="007914BB"/>
    <w:rsid w:val="007929C7"/>
    <w:rsid w:val="00794C91"/>
    <w:rsid w:val="007959C7"/>
    <w:rsid w:val="00796FBE"/>
    <w:rsid w:val="0079710F"/>
    <w:rsid w:val="007A0E48"/>
    <w:rsid w:val="007A1254"/>
    <w:rsid w:val="007A3408"/>
    <w:rsid w:val="007B0AC7"/>
    <w:rsid w:val="007B3305"/>
    <w:rsid w:val="007B6CF5"/>
    <w:rsid w:val="007B6D03"/>
    <w:rsid w:val="007B732A"/>
    <w:rsid w:val="007C21A5"/>
    <w:rsid w:val="007D1E88"/>
    <w:rsid w:val="007D2A1F"/>
    <w:rsid w:val="007D721F"/>
    <w:rsid w:val="007D7D0B"/>
    <w:rsid w:val="007E02CC"/>
    <w:rsid w:val="007E387C"/>
    <w:rsid w:val="007E3884"/>
    <w:rsid w:val="007F0C31"/>
    <w:rsid w:val="007F13D5"/>
    <w:rsid w:val="007F642F"/>
    <w:rsid w:val="00802B23"/>
    <w:rsid w:val="0080645A"/>
    <w:rsid w:val="00810918"/>
    <w:rsid w:val="008137A3"/>
    <w:rsid w:val="00815746"/>
    <w:rsid w:val="00815C1A"/>
    <w:rsid w:val="0081725E"/>
    <w:rsid w:val="00820186"/>
    <w:rsid w:val="008219A9"/>
    <w:rsid w:val="00822A71"/>
    <w:rsid w:val="008270F2"/>
    <w:rsid w:val="00831294"/>
    <w:rsid w:val="00832564"/>
    <w:rsid w:val="0083455E"/>
    <w:rsid w:val="0084066E"/>
    <w:rsid w:val="00846922"/>
    <w:rsid w:val="0085157C"/>
    <w:rsid w:val="008515FC"/>
    <w:rsid w:val="0086072C"/>
    <w:rsid w:val="00860F4A"/>
    <w:rsid w:val="008628DF"/>
    <w:rsid w:val="008650B0"/>
    <w:rsid w:val="008667DD"/>
    <w:rsid w:val="00866F53"/>
    <w:rsid w:val="00867113"/>
    <w:rsid w:val="00873E00"/>
    <w:rsid w:val="00881D02"/>
    <w:rsid w:val="008859C4"/>
    <w:rsid w:val="00890273"/>
    <w:rsid w:val="00891CED"/>
    <w:rsid w:val="00891F1B"/>
    <w:rsid w:val="008936E7"/>
    <w:rsid w:val="008A1FB8"/>
    <w:rsid w:val="008A2E99"/>
    <w:rsid w:val="008B2B8C"/>
    <w:rsid w:val="008B53E7"/>
    <w:rsid w:val="008B765B"/>
    <w:rsid w:val="008B777B"/>
    <w:rsid w:val="008C5224"/>
    <w:rsid w:val="008C6369"/>
    <w:rsid w:val="008D2F4B"/>
    <w:rsid w:val="008D32BE"/>
    <w:rsid w:val="008D3B98"/>
    <w:rsid w:val="008D4766"/>
    <w:rsid w:val="008D7D3E"/>
    <w:rsid w:val="008D7DFF"/>
    <w:rsid w:val="008E1050"/>
    <w:rsid w:val="008E1627"/>
    <w:rsid w:val="008E2E78"/>
    <w:rsid w:val="008E6BC9"/>
    <w:rsid w:val="008F27BC"/>
    <w:rsid w:val="008F46E0"/>
    <w:rsid w:val="008F5976"/>
    <w:rsid w:val="00901846"/>
    <w:rsid w:val="00901B48"/>
    <w:rsid w:val="009024C9"/>
    <w:rsid w:val="00903BBC"/>
    <w:rsid w:val="00905437"/>
    <w:rsid w:val="00905764"/>
    <w:rsid w:val="00906749"/>
    <w:rsid w:val="0090690B"/>
    <w:rsid w:val="009125AC"/>
    <w:rsid w:val="00912607"/>
    <w:rsid w:val="00913EFF"/>
    <w:rsid w:val="00914740"/>
    <w:rsid w:val="009177A3"/>
    <w:rsid w:val="00917EE4"/>
    <w:rsid w:val="0092462C"/>
    <w:rsid w:val="009252A2"/>
    <w:rsid w:val="00927265"/>
    <w:rsid w:val="00933162"/>
    <w:rsid w:val="00934336"/>
    <w:rsid w:val="009364AD"/>
    <w:rsid w:val="00941867"/>
    <w:rsid w:val="00947A65"/>
    <w:rsid w:val="0095385E"/>
    <w:rsid w:val="009564F6"/>
    <w:rsid w:val="00956E1B"/>
    <w:rsid w:val="0095739A"/>
    <w:rsid w:val="00964193"/>
    <w:rsid w:val="00966FCD"/>
    <w:rsid w:val="009673FF"/>
    <w:rsid w:val="0097061B"/>
    <w:rsid w:val="00971424"/>
    <w:rsid w:val="00972C73"/>
    <w:rsid w:val="009739B7"/>
    <w:rsid w:val="00976C58"/>
    <w:rsid w:val="0097776A"/>
    <w:rsid w:val="0098051A"/>
    <w:rsid w:val="00980B31"/>
    <w:rsid w:val="009821F8"/>
    <w:rsid w:val="00987C33"/>
    <w:rsid w:val="00992A7D"/>
    <w:rsid w:val="00992E09"/>
    <w:rsid w:val="00997ADC"/>
    <w:rsid w:val="009A0E22"/>
    <w:rsid w:val="009A322A"/>
    <w:rsid w:val="009A3886"/>
    <w:rsid w:val="009A4856"/>
    <w:rsid w:val="009A6DC1"/>
    <w:rsid w:val="009B259C"/>
    <w:rsid w:val="009B2ADE"/>
    <w:rsid w:val="009B2D3D"/>
    <w:rsid w:val="009B45A3"/>
    <w:rsid w:val="009B4982"/>
    <w:rsid w:val="009B5480"/>
    <w:rsid w:val="009C21AA"/>
    <w:rsid w:val="009C41E7"/>
    <w:rsid w:val="009C674E"/>
    <w:rsid w:val="009D30C0"/>
    <w:rsid w:val="009D329A"/>
    <w:rsid w:val="009D4DA8"/>
    <w:rsid w:val="009D5381"/>
    <w:rsid w:val="009D61FD"/>
    <w:rsid w:val="009E1283"/>
    <w:rsid w:val="009E28CC"/>
    <w:rsid w:val="009E36B7"/>
    <w:rsid w:val="009E5300"/>
    <w:rsid w:val="009E6152"/>
    <w:rsid w:val="009F596D"/>
    <w:rsid w:val="00A000AC"/>
    <w:rsid w:val="00A010EE"/>
    <w:rsid w:val="00A036D7"/>
    <w:rsid w:val="00A05288"/>
    <w:rsid w:val="00A1207B"/>
    <w:rsid w:val="00A12735"/>
    <w:rsid w:val="00A1276F"/>
    <w:rsid w:val="00A17C86"/>
    <w:rsid w:val="00A22C84"/>
    <w:rsid w:val="00A25489"/>
    <w:rsid w:val="00A306DF"/>
    <w:rsid w:val="00A553E3"/>
    <w:rsid w:val="00A572F6"/>
    <w:rsid w:val="00A61D3C"/>
    <w:rsid w:val="00A62A92"/>
    <w:rsid w:val="00A7076C"/>
    <w:rsid w:val="00A753F5"/>
    <w:rsid w:val="00A7570E"/>
    <w:rsid w:val="00A76016"/>
    <w:rsid w:val="00A767DF"/>
    <w:rsid w:val="00A8435F"/>
    <w:rsid w:val="00A864E6"/>
    <w:rsid w:val="00A90200"/>
    <w:rsid w:val="00A90DDD"/>
    <w:rsid w:val="00A94BEE"/>
    <w:rsid w:val="00A96890"/>
    <w:rsid w:val="00A96972"/>
    <w:rsid w:val="00A9765D"/>
    <w:rsid w:val="00AA12EC"/>
    <w:rsid w:val="00AA2AF2"/>
    <w:rsid w:val="00AA3AD5"/>
    <w:rsid w:val="00AA7D8F"/>
    <w:rsid w:val="00AB0295"/>
    <w:rsid w:val="00AB040C"/>
    <w:rsid w:val="00AB76C0"/>
    <w:rsid w:val="00AC2970"/>
    <w:rsid w:val="00AC37F7"/>
    <w:rsid w:val="00AC4183"/>
    <w:rsid w:val="00AC52AF"/>
    <w:rsid w:val="00AC6202"/>
    <w:rsid w:val="00AD1310"/>
    <w:rsid w:val="00AD3BDE"/>
    <w:rsid w:val="00AD4486"/>
    <w:rsid w:val="00AD457A"/>
    <w:rsid w:val="00AD4BC6"/>
    <w:rsid w:val="00AD5516"/>
    <w:rsid w:val="00AD7592"/>
    <w:rsid w:val="00AE1CD8"/>
    <w:rsid w:val="00AE59A2"/>
    <w:rsid w:val="00AE79F8"/>
    <w:rsid w:val="00AF0DF4"/>
    <w:rsid w:val="00AF1108"/>
    <w:rsid w:val="00AF26E6"/>
    <w:rsid w:val="00AF2CDD"/>
    <w:rsid w:val="00AF5A09"/>
    <w:rsid w:val="00B02D82"/>
    <w:rsid w:val="00B061D1"/>
    <w:rsid w:val="00B07890"/>
    <w:rsid w:val="00B110D0"/>
    <w:rsid w:val="00B14E9A"/>
    <w:rsid w:val="00B156C0"/>
    <w:rsid w:val="00B2572D"/>
    <w:rsid w:val="00B371AE"/>
    <w:rsid w:val="00B41416"/>
    <w:rsid w:val="00B4201B"/>
    <w:rsid w:val="00B43EFF"/>
    <w:rsid w:val="00B4572D"/>
    <w:rsid w:val="00B464E1"/>
    <w:rsid w:val="00B520A7"/>
    <w:rsid w:val="00B522B9"/>
    <w:rsid w:val="00B530C1"/>
    <w:rsid w:val="00B54150"/>
    <w:rsid w:val="00B56EC7"/>
    <w:rsid w:val="00B60347"/>
    <w:rsid w:val="00B700F9"/>
    <w:rsid w:val="00B708FB"/>
    <w:rsid w:val="00B80F6C"/>
    <w:rsid w:val="00B81E1A"/>
    <w:rsid w:val="00B8421A"/>
    <w:rsid w:val="00B85FC9"/>
    <w:rsid w:val="00B91A45"/>
    <w:rsid w:val="00B95078"/>
    <w:rsid w:val="00B96354"/>
    <w:rsid w:val="00BA05DE"/>
    <w:rsid w:val="00BA3237"/>
    <w:rsid w:val="00BA6F06"/>
    <w:rsid w:val="00BB29FE"/>
    <w:rsid w:val="00BB5B7A"/>
    <w:rsid w:val="00BB67B3"/>
    <w:rsid w:val="00BB6A20"/>
    <w:rsid w:val="00BC0C48"/>
    <w:rsid w:val="00BD0737"/>
    <w:rsid w:val="00BD087C"/>
    <w:rsid w:val="00BD39A8"/>
    <w:rsid w:val="00BD3E4D"/>
    <w:rsid w:val="00BD4DD1"/>
    <w:rsid w:val="00BD75AA"/>
    <w:rsid w:val="00BE1E27"/>
    <w:rsid w:val="00BE2B45"/>
    <w:rsid w:val="00BF0F9B"/>
    <w:rsid w:val="00BF265C"/>
    <w:rsid w:val="00BF50EE"/>
    <w:rsid w:val="00BF7F61"/>
    <w:rsid w:val="00C00EB6"/>
    <w:rsid w:val="00C037D4"/>
    <w:rsid w:val="00C03E36"/>
    <w:rsid w:val="00C0697E"/>
    <w:rsid w:val="00C1118C"/>
    <w:rsid w:val="00C14725"/>
    <w:rsid w:val="00C16E8A"/>
    <w:rsid w:val="00C1721B"/>
    <w:rsid w:val="00C2010B"/>
    <w:rsid w:val="00C21D59"/>
    <w:rsid w:val="00C31076"/>
    <w:rsid w:val="00C32F8F"/>
    <w:rsid w:val="00C44D2A"/>
    <w:rsid w:val="00C50576"/>
    <w:rsid w:val="00C51BAB"/>
    <w:rsid w:val="00C5229D"/>
    <w:rsid w:val="00C522DD"/>
    <w:rsid w:val="00C56E81"/>
    <w:rsid w:val="00C63F21"/>
    <w:rsid w:val="00C643D1"/>
    <w:rsid w:val="00C64B8C"/>
    <w:rsid w:val="00C7212F"/>
    <w:rsid w:val="00C72518"/>
    <w:rsid w:val="00C74286"/>
    <w:rsid w:val="00C76E75"/>
    <w:rsid w:val="00C80B53"/>
    <w:rsid w:val="00C8408E"/>
    <w:rsid w:val="00C86C09"/>
    <w:rsid w:val="00C87966"/>
    <w:rsid w:val="00C916D2"/>
    <w:rsid w:val="00C92A2F"/>
    <w:rsid w:val="00C96452"/>
    <w:rsid w:val="00CA09DA"/>
    <w:rsid w:val="00CA60B8"/>
    <w:rsid w:val="00CA6651"/>
    <w:rsid w:val="00CA77FC"/>
    <w:rsid w:val="00CB3596"/>
    <w:rsid w:val="00CC174A"/>
    <w:rsid w:val="00CC3EB4"/>
    <w:rsid w:val="00CD60E9"/>
    <w:rsid w:val="00CD74DE"/>
    <w:rsid w:val="00CD7E4A"/>
    <w:rsid w:val="00CE1875"/>
    <w:rsid w:val="00CE2EB3"/>
    <w:rsid w:val="00CE3518"/>
    <w:rsid w:val="00CE7D07"/>
    <w:rsid w:val="00CF2220"/>
    <w:rsid w:val="00CF3139"/>
    <w:rsid w:val="00CF46C7"/>
    <w:rsid w:val="00CF60DF"/>
    <w:rsid w:val="00D0005E"/>
    <w:rsid w:val="00D03D09"/>
    <w:rsid w:val="00D102AE"/>
    <w:rsid w:val="00D10570"/>
    <w:rsid w:val="00D11ED6"/>
    <w:rsid w:val="00D22552"/>
    <w:rsid w:val="00D31A88"/>
    <w:rsid w:val="00D36C41"/>
    <w:rsid w:val="00D4030B"/>
    <w:rsid w:val="00D413A5"/>
    <w:rsid w:val="00D41E71"/>
    <w:rsid w:val="00D43CA7"/>
    <w:rsid w:val="00D4537D"/>
    <w:rsid w:val="00D479DB"/>
    <w:rsid w:val="00D47CC1"/>
    <w:rsid w:val="00D47D18"/>
    <w:rsid w:val="00D51458"/>
    <w:rsid w:val="00D51AA9"/>
    <w:rsid w:val="00D7111E"/>
    <w:rsid w:val="00D717EC"/>
    <w:rsid w:val="00D71B96"/>
    <w:rsid w:val="00D8006C"/>
    <w:rsid w:val="00D84EC9"/>
    <w:rsid w:val="00D87B83"/>
    <w:rsid w:val="00D91429"/>
    <w:rsid w:val="00D92EEC"/>
    <w:rsid w:val="00D93F02"/>
    <w:rsid w:val="00D94910"/>
    <w:rsid w:val="00D94F6F"/>
    <w:rsid w:val="00DA5527"/>
    <w:rsid w:val="00DA6552"/>
    <w:rsid w:val="00DB0781"/>
    <w:rsid w:val="00DB11EA"/>
    <w:rsid w:val="00DB2BE4"/>
    <w:rsid w:val="00DB2C5F"/>
    <w:rsid w:val="00DB3617"/>
    <w:rsid w:val="00DB63EF"/>
    <w:rsid w:val="00DC0603"/>
    <w:rsid w:val="00DC172A"/>
    <w:rsid w:val="00DC43B0"/>
    <w:rsid w:val="00DC47AB"/>
    <w:rsid w:val="00DC5437"/>
    <w:rsid w:val="00DC65D9"/>
    <w:rsid w:val="00DD0943"/>
    <w:rsid w:val="00DD58FF"/>
    <w:rsid w:val="00DD6CF7"/>
    <w:rsid w:val="00DE13B3"/>
    <w:rsid w:val="00DE2010"/>
    <w:rsid w:val="00DE34A7"/>
    <w:rsid w:val="00DE3F35"/>
    <w:rsid w:val="00DE574E"/>
    <w:rsid w:val="00DE5F8A"/>
    <w:rsid w:val="00DE63ED"/>
    <w:rsid w:val="00DF0CFD"/>
    <w:rsid w:val="00DF2975"/>
    <w:rsid w:val="00DF6200"/>
    <w:rsid w:val="00DF6819"/>
    <w:rsid w:val="00E01332"/>
    <w:rsid w:val="00E03FE7"/>
    <w:rsid w:val="00E062AB"/>
    <w:rsid w:val="00E102AB"/>
    <w:rsid w:val="00E111C0"/>
    <w:rsid w:val="00E11A1F"/>
    <w:rsid w:val="00E12C66"/>
    <w:rsid w:val="00E168AA"/>
    <w:rsid w:val="00E17788"/>
    <w:rsid w:val="00E25352"/>
    <w:rsid w:val="00E27F97"/>
    <w:rsid w:val="00E32AE1"/>
    <w:rsid w:val="00E40857"/>
    <w:rsid w:val="00E4159F"/>
    <w:rsid w:val="00E44F40"/>
    <w:rsid w:val="00E45A4A"/>
    <w:rsid w:val="00E476B3"/>
    <w:rsid w:val="00E53A4A"/>
    <w:rsid w:val="00E54102"/>
    <w:rsid w:val="00E541F5"/>
    <w:rsid w:val="00E6063F"/>
    <w:rsid w:val="00E63F23"/>
    <w:rsid w:val="00E65096"/>
    <w:rsid w:val="00E65BAA"/>
    <w:rsid w:val="00E66781"/>
    <w:rsid w:val="00E70052"/>
    <w:rsid w:val="00E72D54"/>
    <w:rsid w:val="00E74BD6"/>
    <w:rsid w:val="00E773D7"/>
    <w:rsid w:val="00E8129F"/>
    <w:rsid w:val="00E81F58"/>
    <w:rsid w:val="00E844FF"/>
    <w:rsid w:val="00E84F0D"/>
    <w:rsid w:val="00E86A32"/>
    <w:rsid w:val="00E90CE1"/>
    <w:rsid w:val="00E92DC1"/>
    <w:rsid w:val="00E97DB8"/>
    <w:rsid w:val="00EA32EB"/>
    <w:rsid w:val="00EA3357"/>
    <w:rsid w:val="00EA4DE9"/>
    <w:rsid w:val="00EC2AFB"/>
    <w:rsid w:val="00EC353E"/>
    <w:rsid w:val="00EC4A49"/>
    <w:rsid w:val="00EC7C3D"/>
    <w:rsid w:val="00ED080C"/>
    <w:rsid w:val="00ED6D93"/>
    <w:rsid w:val="00EE12C1"/>
    <w:rsid w:val="00EE2327"/>
    <w:rsid w:val="00EE6F93"/>
    <w:rsid w:val="00EF09AA"/>
    <w:rsid w:val="00EF11F2"/>
    <w:rsid w:val="00EF1EAE"/>
    <w:rsid w:val="00EF2338"/>
    <w:rsid w:val="00EF3DBC"/>
    <w:rsid w:val="00EF7AAB"/>
    <w:rsid w:val="00F01E45"/>
    <w:rsid w:val="00F02021"/>
    <w:rsid w:val="00F02090"/>
    <w:rsid w:val="00F03B7F"/>
    <w:rsid w:val="00F13011"/>
    <w:rsid w:val="00F155F3"/>
    <w:rsid w:val="00F1678A"/>
    <w:rsid w:val="00F22000"/>
    <w:rsid w:val="00F3451E"/>
    <w:rsid w:val="00F35318"/>
    <w:rsid w:val="00F35584"/>
    <w:rsid w:val="00F358F3"/>
    <w:rsid w:val="00F35BCC"/>
    <w:rsid w:val="00F4259E"/>
    <w:rsid w:val="00F445B9"/>
    <w:rsid w:val="00F6372D"/>
    <w:rsid w:val="00F64260"/>
    <w:rsid w:val="00F72C88"/>
    <w:rsid w:val="00F7316B"/>
    <w:rsid w:val="00F737F8"/>
    <w:rsid w:val="00F73C19"/>
    <w:rsid w:val="00F75DBC"/>
    <w:rsid w:val="00F80652"/>
    <w:rsid w:val="00F83D46"/>
    <w:rsid w:val="00F917A2"/>
    <w:rsid w:val="00F9537F"/>
    <w:rsid w:val="00F95D9A"/>
    <w:rsid w:val="00F96648"/>
    <w:rsid w:val="00FA1F79"/>
    <w:rsid w:val="00FA53DA"/>
    <w:rsid w:val="00FB4D8F"/>
    <w:rsid w:val="00FB69D8"/>
    <w:rsid w:val="00FB7AD8"/>
    <w:rsid w:val="00FC283B"/>
    <w:rsid w:val="00FC40B6"/>
    <w:rsid w:val="00FC7886"/>
    <w:rsid w:val="00FD4B0F"/>
    <w:rsid w:val="00FD708C"/>
    <w:rsid w:val="00FD73FA"/>
    <w:rsid w:val="00FD7886"/>
    <w:rsid w:val="00FE19E4"/>
    <w:rsid w:val="00FE576C"/>
    <w:rsid w:val="00FE64A1"/>
    <w:rsid w:val="00FE6AF8"/>
    <w:rsid w:val="00FE7312"/>
    <w:rsid w:val="00FF617C"/>
    <w:rsid w:val="00FF6911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F13011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391B9A"/>
    <w:pPr>
      <w:keepNext/>
      <w:spacing w:before="240" w:after="60"/>
      <w:outlineLvl w:val="1"/>
    </w:pPr>
    <w:rPr>
      <w:rFonts w:ascii="Cambria" w:hAnsi="Cambria"/>
      <w:b/>
      <w:bCs/>
      <w:i/>
      <w:iCs/>
      <w:shadow/>
      <w:sz w:val="28"/>
      <w:szCs w:val="28"/>
    </w:rPr>
  </w:style>
  <w:style w:type="paragraph" w:styleId="Nadpis3">
    <w:name w:val="heading 3"/>
    <w:basedOn w:val="Normln"/>
    <w:next w:val="Normln"/>
    <w:qFormat/>
    <w:rsid w:val="002C2C65"/>
    <w:pPr>
      <w:keepNext/>
      <w:spacing w:before="240" w:after="60"/>
      <w:outlineLvl w:val="2"/>
    </w:pPr>
    <w:rPr>
      <w:rFonts w:ascii="Arial" w:hAnsi="Arial" w:cs="Arial"/>
      <w:b/>
      <w:bCs/>
      <w:shadow/>
      <w:sz w:val="26"/>
      <w:szCs w:val="26"/>
    </w:rPr>
  </w:style>
  <w:style w:type="paragraph" w:styleId="Nadpis4">
    <w:name w:val="heading 4"/>
    <w:basedOn w:val="Normln"/>
    <w:next w:val="Normln"/>
    <w:qFormat/>
    <w:rsid w:val="002C2C65"/>
    <w:pPr>
      <w:keepNext/>
      <w:spacing w:before="240" w:after="60"/>
      <w:outlineLvl w:val="3"/>
    </w:pPr>
    <w:rPr>
      <w:b/>
      <w:bCs/>
      <w:shadow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91B9A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 w:cs="Arial"/>
      <w:b/>
      <w:bCs/>
      <w:shadow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pPr>
      <w:spacing w:after="60"/>
      <w:jc w:val="center"/>
    </w:pPr>
    <w:rPr>
      <w:rFonts w:ascii="Arial" w:hAnsi="Arial" w:cs="Arial"/>
      <w:shadow/>
      <w:sz w:val="24"/>
      <w:szCs w:val="24"/>
    </w:rPr>
  </w:style>
  <w:style w:type="character" w:customStyle="1" w:styleId="PodtitulChar">
    <w:name w:val="Podtitul Char"/>
    <w:link w:val="Podtitul"/>
    <w:rsid w:val="003D3623"/>
    <w:rPr>
      <w:rFonts w:ascii="Arial" w:hAnsi="Arial" w:cs="Arial"/>
      <w:noProof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Pr>
      <w:shadow/>
    </w:rPr>
  </w:style>
  <w:style w:type="paragraph" w:styleId="Zkladntextodsazen">
    <w:name w:val="Body Text Indent"/>
    <w:basedOn w:val="Normln"/>
    <w:rsid w:val="002C2C65"/>
    <w:pPr>
      <w:spacing w:after="120"/>
      <w:ind w:left="283"/>
    </w:pPr>
    <w:rPr>
      <w:shadow/>
    </w:rPr>
  </w:style>
  <w:style w:type="paragraph" w:styleId="Zpat">
    <w:name w:val="footer"/>
    <w:basedOn w:val="Normln"/>
    <w:rsid w:val="002C2C65"/>
    <w:pPr>
      <w:tabs>
        <w:tab w:val="center" w:pos="4536"/>
        <w:tab w:val="right" w:pos="9072"/>
      </w:tabs>
      <w:autoSpaceDE/>
      <w:autoSpaceDN/>
    </w:pPr>
  </w:style>
  <w:style w:type="paragraph" w:styleId="Zkladntext2">
    <w:name w:val="Body Text 2"/>
    <w:basedOn w:val="Normln"/>
    <w:rsid w:val="002C2C65"/>
    <w:pPr>
      <w:autoSpaceDE/>
      <w:autoSpaceDN/>
      <w:ind w:firstLine="708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C56E81"/>
    <w:pPr>
      <w:shd w:val="pct5" w:color="000000" w:fill="FFFFFF"/>
      <w:autoSpaceDE/>
      <w:autoSpaceDN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Zkladntext3Char">
    <w:name w:val="Základní text 3 Char"/>
    <w:link w:val="Zkladntext3"/>
    <w:uiPriority w:val="99"/>
    <w:rsid w:val="00815746"/>
    <w:rPr>
      <w:rFonts w:ascii="Arial" w:hAnsi="Arial" w:cs="Arial"/>
      <w:b/>
      <w:bCs/>
      <w:sz w:val="28"/>
      <w:szCs w:val="28"/>
      <w:shd w:val="pct5" w:color="000000" w:fill="FFFFFF"/>
    </w:rPr>
  </w:style>
  <w:style w:type="character" w:styleId="slostrnky">
    <w:name w:val="page number"/>
    <w:basedOn w:val="Standardnpsmoodstavce"/>
    <w:rsid w:val="00B522B9"/>
  </w:style>
  <w:style w:type="paragraph" w:customStyle="1" w:styleId="ZkladntextIMP">
    <w:name w:val="Základní text_IMP"/>
    <w:basedOn w:val="Normln"/>
    <w:rsid w:val="006D0F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  <w:spacing w:line="276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rsid w:val="005350D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05764"/>
    <w:rPr>
      <w:rFonts w:ascii="Tahoma" w:hAnsi="Tahoma" w:cs="Tahoma"/>
      <w:shadow/>
      <w:sz w:val="16"/>
      <w:szCs w:val="16"/>
    </w:rPr>
  </w:style>
  <w:style w:type="character" w:customStyle="1" w:styleId="TextbublinyChar">
    <w:name w:val="Text bubliny Char"/>
    <w:link w:val="Textbubliny"/>
    <w:rsid w:val="00905764"/>
    <w:rPr>
      <w:rFonts w:ascii="Tahoma" w:hAnsi="Tahoma" w:cs="Tahoma"/>
      <w:noProof/>
      <w:sz w:val="16"/>
      <w:szCs w:val="1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Standardnpsmoodstavce"/>
    <w:qFormat/>
    <w:rsid w:val="0032184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E111C0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111C0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E111C0"/>
  </w:style>
  <w:style w:type="paragraph" w:styleId="Odstavecseseznamem">
    <w:name w:val="List Paragraph"/>
    <w:basedOn w:val="Normln"/>
    <w:uiPriority w:val="34"/>
    <w:qFormat/>
    <w:rsid w:val="0000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F13011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391B9A"/>
    <w:pPr>
      <w:keepNext/>
      <w:spacing w:before="240" w:after="60"/>
      <w:outlineLvl w:val="1"/>
    </w:pPr>
    <w:rPr>
      <w:rFonts w:ascii="Cambria" w:hAnsi="Cambria"/>
      <w:b/>
      <w:bCs/>
      <w:i/>
      <w:iCs/>
      <w:shadow/>
      <w:sz w:val="28"/>
      <w:szCs w:val="28"/>
    </w:rPr>
  </w:style>
  <w:style w:type="paragraph" w:styleId="Nadpis3">
    <w:name w:val="heading 3"/>
    <w:basedOn w:val="Normln"/>
    <w:next w:val="Normln"/>
    <w:qFormat/>
    <w:rsid w:val="002C2C65"/>
    <w:pPr>
      <w:keepNext/>
      <w:spacing w:before="240" w:after="60"/>
      <w:outlineLvl w:val="2"/>
    </w:pPr>
    <w:rPr>
      <w:rFonts w:ascii="Arial" w:hAnsi="Arial" w:cs="Arial"/>
      <w:b/>
      <w:bCs/>
      <w:shadow/>
      <w:sz w:val="26"/>
      <w:szCs w:val="26"/>
    </w:rPr>
  </w:style>
  <w:style w:type="paragraph" w:styleId="Nadpis4">
    <w:name w:val="heading 4"/>
    <w:basedOn w:val="Normln"/>
    <w:next w:val="Normln"/>
    <w:qFormat/>
    <w:rsid w:val="002C2C65"/>
    <w:pPr>
      <w:keepNext/>
      <w:spacing w:before="240" w:after="60"/>
      <w:outlineLvl w:val="3"/>
    </w:pPr>
    <w:rPr>
      <w:b/>
      <w:bCs/>
      <w:shadow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91B9A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 w:cs="Arial"/>
      <w:b/>
      <w:bCs/>
      <w:shadow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pPr>
      <w:spacing w:after="60"/>
      <w:jc w:val="center"/>
    </w:pPr>
    <w:rPr>
      <w:rFonts w:ascii="Arial" w:hAnsi="Arial" w:cs="Arial"/>
      <w:shadow/>
      <w:sz w:val="24"/>
      <w:szCs w:val="24"/>
    </w:rPr>
  </w:style>
  <w:style w:type="character" w:customStyle="1" w:styleId="PodtitulChar">
    <w:name w:val="Podtitul Char"/>
    <w:link w:val="Podtitul"/>
    <w:rsid w:val="003D3623"/>
    <w:rPr>
      <w:rFonts w:ascii="Arial" w:hAnsi="Arial" w:cs="Arial"/>
      <w:noProof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Pr>
      <w:shadow/>
    </w:rPr>
  </w:style>
  <w:style w:type="paragraph" w:styleId="Zkladntextodsazen">
    <w:name w:val="Body Text Indent"/>
    <w:basedOn w:val="Normln"/>
    <w:rsid w:val="002C2C65"/>
    <w:pPr>
      <w:spacing w:after="120"/>
      <w:ind w:left="283"/>
    </w:pPr>
    <w:rPr>
      <w:shadow/>
    </w:rPr>
  </w:style>
  <w:style w:type="paragraph" w:styleId="Zpat">
    <w:name w:val="footer"/>
    <w:basedOn w:val="Normln"/>
    <w:rsid w:val="002C2C65"/>
    <w:pPr>
      <w:tabs>
        <w:tab w:val="center" w:pos="4536"/>
        <w:tab w:val="right" w:pos="9072"/>
      </w:tabs>
      <w:autoSpaceDE/>
      <w:autoSpaceDN/>
    </w:pPr>
  </w:style>
  <w:style w:type="paragraph" w:styleId="Zkladntext2">
    <w:name w:val="Body Text 2"/>
    <w:basedOn w:val="Normln"/>
    <w:rsid w:val="002C2C65"/>
    <w:pPr>
      <w:autoSpaceDE/>
      <w:autoSpaceDN/>
      <w:ind w:firstLine="708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C56E81"/>
    <w:pPr>
      <w:shd w:val="pct5" w:color="000000" w:fill="FFFFFF"/>
      <w:autoSpaceDE/>
      <w:autoSpaceDN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Zkladntext3Char">
    <w:name w:val="Základní text 3 Char"/>
    <w:link w:val="Zkladntext3"/>
    <w:uiPriority w:val="99"/>
    <w:rsid w:val="00815746"/>
    <w:rPr>
      <w:rFonts w:ascii="Arial" w:hAnsi="Arial" w:cs="Arial"/>
      <w:b/>
      <w:bCs/>
      <w:sz w:val="28"/>
      <w:szCs w:val="28"/>
      <w:shd w:val="pct5" w:color="000000" w:fill="FFFFFF"/>
    </w:rPr>
  </w:style>
  <w:style w:type="character" w:styleId="slostrnky">
    <w:name w:val="page number"/>
    <w:basedOn w:val="Standardnpsmoodstavce"/>
    <w:rsid w:val="00B522B9"/>
  </w:style>
  <w:style w:type="paragraph" w:customStyle="1" w:styleId="ZkladntextIMP">
    <w:name w:val="Základní text_IMP"/>
    <w:basedOn w:val="Normln"/>
    <w:rsid w:val="006D0F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  <w:spacing w:line="276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rsid w:val="005350D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05764"/>
    <w:rPr>
      <w:rFonts w:ascii="Tahoma" w:hAnsi="Tahoma" w:cs="Tahoma"/>
      <w:shadow/>
      <w:sz w:val="16"/>
      <w:szCs w:val="16"/>
    </w:rPr>
  </w:style>
  <w:style w:type="character" w:customStyle="1" w:styleId="TextbublinyChar">
    <w:name w:val="Text bubliny Char"/>
    <w:link w:val="Textbubliny"/>
    <w:rsid w:val="00905764"/>
    <w:rPr>
      <w:rFonts w:ascii="Tahoma" w:hAnsi="Tahoma" w:cs="Tahoma"/>
      <w:noProof/>
      <w:sz w:val="16"/>
      <w:szCs w:val="1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Standardnpsmoodstavce"/>
    <w:qFormat/>
    <w:rsid w:val="0032184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E111C0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111C0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E111C0"/>
  </w:style>
  <w:style w:type="paragraph" w:styleId="Odstavecseseznamem">
    <w:name w:val="List Paragraph"/>
    <w:basedOn w:val="Normln"/>
    <w:uiPriority w:val="34"/>
    <w:qFormat/>
    <w:rsid w:val="0000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AFF7-881F-40C1-9DC9-CB1544BD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14</Pages>
  <Words>6475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Prostějov</vt:lpstr>
    </vt:vector>
  </TitlesOfParts>
  <Company>Městský úřad</Company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Prostějov</dc:title>
  <dc:creator>MÚ Prostějov</dc:creator>
  <cp:lastModifiedBy>Neckař Milan</cp:lastModifiedBy>
  <cp:revision>52</cp:revision>
  <cp:lastPrinted>2015-05-04T05:15:00Z</cp:lastPrinted>
  <dcterms:created xsi:type="dcterms:W3CDTF">2015-03-17T06:47:00Z</dcterms:created>
  <dcterms:modified xsi:type="dcterms:W3CDTF">2015-05-04T11:56:00Z</dcterms:modified>
</cp:coreProperties>
</file>