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318"/>
        <w:gridCol w:w="460"/>
        <w:gridCol w:w="460"/>
        <w:gridCol w:w="460"/>
        <w:gridCol w:w="460"/>
        <w:gridCol w:w="460"/>
        <w:gridCol w:w="460"/>
        <w:gridCol w:w="6214"/>
      </w:tblGrid>
      <w:tr w:rsidR="00B61909" w:rsidRPr="00D23964" w:rsidTr="008E2B5A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909" w:rsidRPr="00D23964" w:rsidRDefault="00B61909">
            <w:pPr>
              <w:rPr>
                <w:b/>
                <w:bCs/>
                <w:sz w:val="24"/>
                <w:szCs w:val="24"/>
                <w:u w:val="single"/>
              </w:rPr>
            </w:pPr>
            <w:r w:rsidRPr="008E2B5A">
              <w:rPr>
                <w:b/>
                <w:bCs/>
                <w:sz w:val="24"/>
                <w:szCs w:val="24"/>
                <w:highlight w:val="green"/>
                <w:u w:val="single"/>
              </w:rPr>
              <w:t>Kapitola 70 –</w:t>
            </w:r>
            <w:r w:rsidR="003E1459" w:rsidRPr="008E2B5A">
              <w:rPr>
                <w:b/>
                <w:bCs/>
                <w:sz w:val="24"/>
                <w:szCs w:val="24"/>
                <w:highlight w:val="green"/>
                <w:u w:val="single"/>
              </w:rPr>
              <w:t xml:space="preserve"> F</w:t>
            </w:r>
            <w:r w:rsidRPr="008E2B5A">
              <w:rPr>
                <w:b/>
                <w:bCs/>
                <w:sz w:val="24"/>
                <w:szCs w:val="24"/>
                <w:highlight w:val="green"/>
                <w:u w:val="single"/>
              </w:rPr>
              <w:t>inanční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CF0740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B61909" w:rsidRPr="00534A84" w:rsidRDefault="00B61909">
            <w:pPr>
              <w:rPr>
                <w:b/>
                <w:bCs/>
                <w:u w:val="single"/>
              </w:rPr>
            </w:pPr>
            <w:r w:rsidRPr="00534A84">
              <w:rPr>
                <w:b/>
                <w:bCs/>
                <w:u w:val="single"/>
              </w:rPr>
              <w:t>Rozbor plnění příjmů rozpočtu kapitoly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3720E6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B61909" w:rsidRPr="00534A84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E62B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592.191,76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E62B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1.450.440,66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E62B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244,93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Nekonsolidované příjmy</w:t>
            </w:r>
          </w:p>
        </w:tc>
      </w:tr>
      <w:tr w:rsidR="008E2B5A" w:rsidRPr="00534A84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5A" w:rsidRPr="00534A84" w:rsidRDefault="00E62B47" w:rsidP="00CF5E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592.191,76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5A" w:rsidRPr="00534A84" w:rsidRDefault="00E62B47" w:rsidP="00E62B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642.090,37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5A" w:rsidRPr="00534A84" w:rsidRDefault="00E62B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108,43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5A" w:rsidRPr="00534A84" w:rsidRDefault="008E2B5A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Konsolidované příjmy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CF5E76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1909" w:rsidRPr="00534A84" w:rsidRDefault="00B61909" w:rsidP="003720E6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Stručný komentář k celkovému vývoji plnění příjmů kapitoly ve sledovaném období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 w:rsidP="008E2B5A">
            <w:pPr>
              <w:jc w:val="both"/>
            </w:pPr>
            <w:r w:rsidRPr="00534A84">
              <w:t xml:space="preserve">Konsolidované příjmy kapitoly ve sledovaném období svým </w:t>
            </w:r>
            <w:r w:rsidR="008E2B5A">
              <w:t xml:space="preserve">finančním </w:t>
            </w:r>
            <w:r w:rsidRPr="00534A84">
              <w:t>objemem plnění ovlivnily zejména položky</w:t>
            </w:r>
            <w:r w:rsidR="008E2B5A">
              <w:t xml:space="preserve"> 1111,</w:t>
            </w:r>
            <w:r w:rsidR="00E62B47">
              <w:t xml:space="preserve"> 1113,</w:t>
            </w:r>
            <w:r w:rsidR="008E2B5A">
              <w:t xml:space="preserve"> 1121,</w:t>
            </w:r>
            <w:r w:rsidR="00DD3195" w:rsidRPr="00534A84">
              <w:t xml:space="preserve"> </w:t>
            </w:r>
            <w:r w:rsidR="008E2B5A">
              <w:t xml:space="preserve">1122, </w:t>
            </w:r>
            <w:r w:rsidR="00696201" w:rsidRPr="00534A84">
              <w:t>1211,</w:t>
            </w:r>
            <w:r w:rsidR="00C42612">
              <w:t xml:space="preserve"> 1355,</w:t>
            </w:r>
            <w:r w:rsidR="00E62B47">
              <w:t xml:space="preserve"> 1361,</w:t>
            </w:r>
            <w:r w:rsidR="00696201" w:rsidRPr="00534A84">
              <w:t xml:space="preserve"> </w:t>
            </w:r>
            <w:r w:rsidR="00DD3195" w:rsidRPr="00534A84">
              <w:t>1511</w:t>
            </w:r>
            <w:r w:rsidR="008E2B5A">
              <w:t>,</w:t>
            </w:r>
            <w:r w:rsidR="00DD3195" w:rsidRPr="00534A84">
              <w:t xml:space="preserve"> </w:t>
            </w:r>
            <w:r w:rsidR="005D53E2">
              <w:t>2329</w:t>
            </w:r>
            <w:r w:rsidR="008E2B5A">
              <w:t xml:space="preserve"> a 1112 (ORG 0700000707800)</w:t>
            </w:r>
            <w:r w:rsidRPr="00534A84">
              <w:t>. Bližší komentář je uveden v následující tabulce společně s jinými abnormalitami v řádném plnění.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CF5E76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1909" w:rsidRPr="00534A84" w:rsidRDefault="00B61909" w:rsidP="003720E6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Komentář k položkám (akcím), které vykázaly abnormalitu v řádném plnění příjmů rozpočtu kapitoly ve sledovaném období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3720E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20E6" w:rsidRDefault="003720E6" w:rsidP="003720E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 w:rsidP="003720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612" w:rsidRDefault="00C42612" w:rsidP="00C42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 w:rsidP="00C42612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B61909" w:rsidRPr="00534A84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1111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1112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1113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1121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1122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1211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1511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P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8E2B5A" w:rsidRDefault="00B619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Default="00945482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100.500,00</w:t>
            </w:r>
          </w:p>
          <w:p w:rsidR="00945482" w:rsidRDefault="00945482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4.800,00</w:t>
            </w:r>
          </w:p>
          <w:p w:rsidR="00945482" w:rsidRDefault="00945482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9.950,00</w:t>
            </w:r>
          </w:p>
          <w:p w:rsidR="00945482" w:rsidRDefault="00945482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91.100,00</w:t>
            </w:r>
          </w:p>
          <w:p w:rsidR="00945482" w:rsidRDefault="00945482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23.000,00</w:t>
            </w:r>
          </w:p>
          <w:p w:rsidR="00945482" w:rsidRDefault="00945482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202.890,00</w:t>
            </w:r>
          </w:p>
          <w:p w:rsidR="00945482" w:rsidRPr="00602E38" w:rsidRDefault="00945482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4E1A" w:rsidRDefault="00945482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103.891,70</w:t>
            </w:r>
          </w:p>
          <w:p w:rsidR="00945482" w:rsidRDefault="00945482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6.653,70</w:t>
            </w:r>
          </w:p>
          <w:p w:rsidR="00945482" w:rsidRDefault="00945482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11.229,74</w:t>
            </w:r>
          </w:p>
          <w:p w:rsidR="00945482" w:rsidRDefault="00945482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107.417,13</w:t>
            </w:r>
          </w:p>
          <w:p w:rsidR="00945482" w:rsidRDefault="00945482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20.155,98</w:t>
            </w:r>
          </w:p>
          <w:p w:rsidR="00945482" w:rsidRDefault="00945482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218.549,13</w:t>
            </w:r>
          </w:p>
          <w:p w:rsidR="00945482" w:rsidRPr="00602E38" w:rsidRDefault="00945482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27.991,26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09" w:rsidRPr="00602E38" w:rsidRDefault="002155E7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Sdílené daně; </w:t>
            </w:r>
            <w:r w:rsidR="0018396B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DPPO placená obcí; </w:t>
            </w:r>
            <w:r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Daň z nemovitostí</w:t>
            </w:r>
          </w:p>
          <w:p w:rsidR="00B61909" w:rsidRPr="00602E38" w:rsidRDefault="00B61909" w:rsidP="0096422B">
            <w:pPr>
              <w:jc w:val="both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Daňová výtěžnost je rozebrána v samostatné části. Celkov</w:t>
            </w:r>
            <w:r w:rsidR="00945482">
              <w:rPr>
                <w:sz w:val="16"/>
                <w:szCs w:val="16"/>
              </w:rPr>
              <w:t>ě</w:t>
            </w:r>
            <w:r w:rsidR="005E3C91" w:rsidRPr="00602E38">
              <w:rPr>
                <w:sz w:val="16"/>
                <w:szCs w:val="16"/>
              </w:rPr>
              <w:t xml:space="preserve"> uvedené </w:t>
            </w:r>
            <w:r w:rsidRPr="00602E38">
              <w:rPr>
                <w:sz w:val="16"/>
                <w:szCs w:val="16"/>
              </w:rPr>
              <w:t xml:space="preserve">daňové příjmy byly splněny na </w:t>
            </w:r>
            <w:r w:rsidR="0096422B">
              <w:rPr>
                <w:sz w:val="16"/>
                <w:szCs w:val="16"/>
              </w:rPr>
              <w:t>108,22</w:t>
            </w:r>
            <w:r w:rsidR="00786CB4">
              <w:rPr>
                <w:sz w:val="16"/>
                <w:szCs w:val="16"/>
              </w:rPr>
              <w:t>%</w:t>
            </w:r>
          </w:p>
        </w:tc>
      </w:tr>
      <w:tr w:rsidR="00B61909" w:rsidRPr="00534A84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602E38" w:rsidRDefault="00B61909" w:rsidP="002155E7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13</w:t>
            </w:r>
            <w:r w:rsidR="002155E7" w:rsidRPr="00602E38">
              <w:rPr>
                <w:sz w:val="16"/>
                <w:szCs w:val="16"/>
              </w:rPr>
              <w:t>40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Default="00602E38" w:rsidP="00602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B61909" w:rsidRPr="008E2B5A" w:rsidRDefault="00B61909" w:rsidP="00D134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8E2B5A" w:rsidRDefault="00B619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602E38" w:rsidRDefault="00964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909" w:rsidRPr="00602E38" w:rsidRDefault="00964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24.707,55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09" w:rsidRPr="00602E38" w:rsidRDefault="00B61909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Poplatek za </w:t>
            </w:r>
            <w:r w:rsidR="00F738B6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provoz, </w:t>
            </w:r>
            <w:proofErr w:type="spellStart"/>
            <w:r w:rsidR="00F738B6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shrom</w:t>
            </w:r>
            <w:proofErr w:type="spellEnd"/>
            <w:r w:rsidR="00F738B6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. a </w:t>
            </w:r>
            <w:proofErr w:type="spellStart"/>
            <w:r w:rsidR="00F738B6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odstr</w:t>
            </w:r>
            <w:proofErr w:type="spellEnd"/>
            <w:r w:rsidR="00F738B6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5E3C91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komunál. odpad</w:t>
            </w:r>
            <w:r w:rsidR="005E3C91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</w:t>
            </w:r>
          </w:p>
          <w:p w:rsidR="00B61909" w:rsidRPr="00602E38" w:rsidRDefault="0034049E" w:rsidP="0096422B">
            <w:pPr>
              <w:jc w:val="both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Skutečnost v plnění ovlivňují</w:t>
            </w:r>
            <w:r w:rsidR="006813E4" w:rsidRPr="00602E38">
              <w:rPr>
                <w:sz w:val="16"/>
                <w:szCs w:val="16"/>
              </w:rPr>
              <w:t xml:space="preserve"> zejména</w:t>
            </w:r>
            <w:r w:rsidRPr="00602E38">
              <w:rPr>
                <w:sz w:val="16"/>
                <w:szCs w:val="16"/>
              </w:rPr>
              <w:t xml:space="preserve"> pohledávky </w:t>
            </w:r>
            <w:r w:rsidR="000F61AC" w:rsidRPr="00602E38">
              <w:rPr>
                <w:sz w:val="16"/>
                <w:szCs w:val="16"/>
              </w:rPr>
              <w:t>uhrazené</w:t>
            </w:r>
            <w:r w:rsidRPr="00602E38">
              <w:rPr>
                <w:sz w:val="16"/>
                <w:szCs w:val="16"/>
              </w:rPr>
              <w:t xml:space="preserve"> </w:t>
            </w:r>
            <w:r w:rsidR="000F61AC" w:rsidRPr="00602E38">
              <w:rPr>
                <w:sz w:val="16"/>
                <w:szCs w:val="16"/>
              </w:rPr>
              <w:t>v roce 20</w:t>
            </w:r>
            <w:r w:rsidR="00650E18" w:rsidRPr="00602E38">
              <w:rPr>
                <w:sz w:val="16"/>
                <w:szCs w:val="16"/>
              </w:rPr>
              <w:t>1</w:t>
            </w:r>
            <w:r w:rsidR="0096422B">
              <w:rPr>
                <w:sz w:val="16"/>
                <w:szCs w:val="16"/>
              </w:rPr>
              <w:t>4</w:t>
            </w:r>
          </w:p>
        </w:tc>
      </w:tr>
      <w:tr w:rsidR="00B61909" w:rsidRPr="00534A84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602E38" w:rsidRDefault="000F61AC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1343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Default="00602E38" w:rsidP="00602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B61909" w:rsidRPr="008E2B5A" w:rsidRDefault="00B61909" w:rsidP="00D134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8E2B5A" w:rsidRDefault="00B619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602E38" w:rsidRDefault="00964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909" w:rsidRPr="00602E38" w:rsidRDefault="00964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1.015,59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49E" w:rsidRPr="00602E38" w:rsidRDefault="000F61AC" w:rsidP="004679AF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602E38">
              <w:rPr>
                <w:b/>
                <w:bCs/>
                <w:sz w:val="16"/>
                <w:szCs w:val="16"/>
                <w:u w:val="single"/>
              </w:rPr>
              <w:t xml:space="preserve">Poplatek za užívání veř. </w:t>
            </w:r>
            <w:r w:rsidR="009D4E1A" w:rsidRPr="00602E38">
              <w:rPr>
                <w:b/>
                <w:bCs/>
                <w:sz w:val="16"/>
                <w:szCs w:val="16"/>
                <w:u w:val="single"/>
              </w:rPr>
              <w:t>p</w:t>
            </w:r>
            <w:r w:rsidRPr="00602E38">
              <w:rPr>
                <w:b/>
                <w:bCs/>
                <w:sz w:val="16"/>
                <w:szCs w:val="16"/>
                <w:u w:val="single"/>
              </w:rPr>
              <w:t>rostranství</w:t>
            </w:r>
          </w:p>
          <w:p w:rsidR="000F61AC" w:rsidRPr="00602E38" w:rsidRDefault="000F61AC" w:rsidP="004679AF">
            <w:pPr>
              <w:jc w:val="both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 xml:space="preserve">Výše poplatku je ovlivněna </w:t>
            </w:r>
            <w:r w:rsidR="008623DA" w:rsidRPr="00602E38">
              <w:rPr>
                <w:sz w:val="16"/>
                <w:szCs w:val="16"/>
              </w:rPr>
              <w:t xml:space="preserve">počtem </w:t>
            </w:r>
            <w:r w:rsidR="00EA3D2D" w:rsidRPr="00602E38">
              <w:rPr>
                <w:sz w:val="16"/>
                <w:szCs w:val="16"/>
              </w:rPr>
              <w:t xml:space="preserve">podaných </w:t>
            </w:r>
            <w:r w:rsidR="008623DA" w:rsidRPr="00602E38">
              <w:rPr>
                <w:sz w:val="16"/>
                <w:szCs w:val="16"/>
              </w:rPr>
              <w:t>ohlášení k</w:t>
            </w:r>
            <w:r w:rsidR="002155E7" w:rsidRPr="00602E38">
              <w:rPr>
                <w:sz w:val="16"/>
                <w:szCs w:val="16"/>
              </w:rPr>
              <w:t> </w:t>
            </w:r>
            <w:r w:rsidR="008623DA" w:rsidRPr="00602E38">
              <w:rPr>
                <w:sz w:val="16"/>
                <w:szCs w:val="16"/>
              </w:rPr>
              <w:t xml:space="preserve">užívání veřejného prostranství. </w:t>
            </w:r>
            <w:r w:rsidR="00EA3D2D" w:rsidRPr="00602E38">
              <w:rPr>
                <w:sz w:val="16"/>
                <w:szCs w:val="16"/>
              </w:rPr>
              <w:t>Při sestavování rozpočtu nelze přesně určit počet těchto ohlášení.</w:t>
            </w:r>
            <w:r w:rsidR="00400B8F" w:rsidRPr="00602E38">
              <w:rPr>
                <w:sz w:val="16"/>
                <w:szCs w:val="16"/>
              </w:rPr>
              <w:t xml:space="preserve"> Vychází se z</w:t>
            </w:r>
            <w:r w:rsidR="002155E7" w:rsidRPr="00602E38">
              <w:rPr>
                <w:sz w:val="16"/>
                <w:szCs w:val="16"/>
              </w:rPr>
              <w:t> </w:t>
            </w:r>
            <w:r w:rsidR="00400B8F" w:rsidRPr="00602E38">
              <w:rPr>
                <w:sz w:val="16"/>
                <w:szCs w:val="16"/>
              </w:rPr>
              <w:t>určité časové řady let minulých</w:t>
            </w:r>
          </w:p>
        </w:tc>
      </w:tr>
      <w:tr w:rsidR="002155E7" w:rsidRPr="009D4E1A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E7" w:rsidRPr="009D4E1A" w:rsidRDefault="002155E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E7" w:rsidRPr="00602E38" w:rsidRDefault="002155E7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1355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Default="00602E38" w:rsidP="00602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2155E7" w:rsidRPr="009D4E1A" w:rsidRDefault="002155E7" w:rsidP="00D134E6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E7" w:rsidRPr="009D4E1A" w:rsidRDefault="002155E7">
            <w:pPr>
              <w:jc w:val="both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E7" w:rsidRPr="00602E38" w:rsidRDefault="00964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5E7" w:rsidRPr="00602E38" w:rsidRDefault="00964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43.819,26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5E7" w:rsidRPr="00602E38" w:rsidRDefault="002155E7" w:rsidP="004679AF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602E38">
              <w:rPr>
                <w:b/>
                <w:bCs/>
                <w:sz w:val="16"/>
                <w:szCs w:val="16"/>
                <w:u w:val="single"/>
              </w:rPr>
              <w:t>Odvod z VHP</w:t>
            </w:r>
          </w:p>
          <w:p w:rsidR="002155E7" w:rsidRPr="00602E38" w:rsidRDefault="002D331B" w:rsidP="00602E38">
            <w:pPr>
              <w:jc w:val="both"/>
              <w:rPr>
                <w:bCs/>
                <w:sz w:val="16"/>
                <w:szCs w:val="16"/>
              </w:rPr>
            </w:pPr>
            <w:r w:rsidRPr="00602E38">
              <w:rPr>
                <w:bCs/>
                <w:sz w:val="16"/>
                <w:szCs w:val="16"/>
              </w:rPr>
              <w:t xml:space="preserve">Odvod z loterií a jiných podobných her podle části šesté zákona č. 202/1990 </w:t>
            </w:r>
            <w:proofErr w:type="spellStart"/>
            <w:r w:rsidRPr="00602E38">
              <w:rPr>
                <w:bCs/>
                <w:sz w:val="16"/>
                <w:szCs w:val="16"/>
              </w:rPr>
              <w:t>Sb</w:t>
            </w:r>
            <w:proofErr w:type="spellEnd"/>
            <w:r w:rsidRPr="00602E38">
              <w:rPr>
                <w:bCs/>
                <w:sz w:val="16"/>
                <w:szCs w:val="16"/>
              </w:rPr>
              <w:t xml:space="preserve">, o loteriích a jiných podobných hrách, ve znění zákona č. 458/2011 Sb., </w:t>
            </w:r>
            <w:r w:rsidR="00602E38" w:rsidRPr="00602E38">
              <w:rPr>
                <w:bCs/>
                <w:sz w:val="16"/>
                <w:szCs w:val="16"/>
              </w:rPr>
              <w:t>ve výši dílčího</w:t>
            </w:r>
            <w:r w:rsidRPr="00602E38">
              <w:rPr>
                <w:bCs/>
                <w:sz w:val="16"/>
                <w:szCs w:val="16"/>
              </w:rPr>
              <w:t xml:space="preserve"> odvodu z výherních hracích přístrojů a jiných technických herních zařízení (§ 41i odst. </w:t>
            </w:r>
            <w:r w:rsidR="00602E38" w:rsidRPr="00602E38">
              <w:rPr>
                <w:bCs/>
                <w:sz w:val="16"/>
                <w:szCs w:val="16"/>
              </w:rPr>
              <w:t>1</w:t>
            </w:r>
            <w:r w:rsidRPr="00602E38">
              <w:rPr>
                <w:bCs/>
                <w:sz w:val="16"/>
                <w:szCs w:val="16"/>
              </w:rPr>
              <w:t xml:space="preserve"> tohoto zákona). </w:t>
            </w:r>
            <w:r w:rsidRPr="00602E38">
              <w:rPr>
                <w:sz w:val="16"/>
                <w:szCs w:val="16"/>
              </w:rPr>
              <w:t xml:space="preserve">Při sestavování rozpočtu nelze přesně </w:t>
            </w:r>
            <w:r w:rsidR="00602E38" w:rsidRPr="00602E38">
              <w:rPr>
                <w:sz w:val="16"/>
                <w:szCs w:val="16"/>
              </w:rPr>
              <w:t>stanovit</w:t>
            </w:r>
            <w:r w:rsidRPr="00602E38">
              <w:rPr>
                <w:sz w:val="16"/>
                <w:szCs w:val="16"/>
              </w:rPr>
              <w:t xml:space="preserve"> dopad tohoto zákona v daném rozpočtovém roce</w:t>
            </w:r>
            <w:r w:rsidR="00602E38" w:rsidRPr="00602E38">
              <w:rPr>
                <w:sz w:val="16"/>
                <w:szCs w:val="16"/>
              </w:rPr>
              <w:t xml:space="preserve"> na příjmy města</w:t>
            </w:r>
          </w:p>
        </w:tc>
      </w:tr>
      <w:tr w:rsidR="00602E38" w:rsidRPr="009D4E1A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Pr="009D4E1A" w:rsidRDefault="00602E38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Pr="00602E38" w:rsidRDefault="00602E38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1361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Default="00602E38" w:rsidP="00602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602E38" w:rsidRPr="009D4E1A" w:rsidRDefault="00602E38" w:rsidP="00D134E6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Pr="009D4E1A" w:rsidRDefault="00602E38">
            <w:pPr>
              <w:jc w:val="both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Pr="00602E38" w:rsidRDefault="00964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E38" w:rsidRPr="00602E38" w:rsidRDefault="00964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8.455,30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E38" w:rsidRPr="00602E38" w:rsidRDefault="00602E38" w:rsidP="004679AF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602E38">
              <w:rPr>
                <w:b/>
                <w:bCs/>
                <w:sz w:val="16"/>
                <w:szCs w:val="16"/>
                <w:u w:val="single"/>
              </w:rPr>
              <w:t>Správní poplatky</w:t>
            </w:r>
          </w:p>
          <w:p w:rsidR="00602E38" w:rsidRPr="00602E38" w:rsidRDefault="00602E38" w:rsidP="00602E38">
            <w:pPr>
              <w:jc w:val="both"/>
              <w:rPr>
                <w:bCs/>
                <w:sz w:val="16"/>
                <w:szCs w:val="16"/>
              </w:rPr>
            </w:pPr>
            <w:r w:rsidRPr="00602E38">
              <w:rPr>
                <w:bCs/>
                <w:sz w:val="16"/>
                <w:szCs w:val="16"/>
              </w:rPr>
              <w:t xml:space="preserve">Výše poplatků je ovlivněna počtem správních úkonů. </w:t>
            </w:r>
            <w:r w:rsidRPr="00602E38">
              <w:rPr>
                <w:sz w:val="16"/>
                <w:szCs w:val="16"/>
              </w:rPr>
              <w:t>Při sestavování rozpočtu nelze přesně určit počet těchto úkonů. Vychází se z určité časové řady let minulých</w:t>
            </w:r>
          </w:p>
        </w:tc>
      </w:tr>
      <w:tr w:rsidR="00B61909" w:rsidRPr="00534A84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07" w:rsidRPr="00602E38" w:rsidRDefault="0096422B" w:rsidP="00602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8E2B5A" w:rsidRDefault="0096422B" w:rsidP="00602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8E2B5A" w:rsidRDefault="00B619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07" w:rsidRPr="00602E38" w:rsidRDefault="0096422B" w:rsidP="00602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0707" w:rsidRPr="00602E38" w:rsidRDefault="0096422B" w:rsidP="00602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808.350,28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909" w:rsidRPr="00602E38" w:rsidRDefault="0096422B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Převody</w:t>
            </w:r>
            <w:r w:rsidR="00B61909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z</w:t>
            </w:r>
            <w:r w:rsidR="001569EF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</w:t>
            </w:r>
            <w:r w:rsidR="00B61909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rozpočtových účtů</w:t>
            </w:r>
          </w:p>
          <w:p w:rsidR="00B61909" w:rsidRPr="00602E38" w:rsidRDefault="00B61909" w:rsidP="00786CB4">
            <w:pPr>
              <w:jc w:val="both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Konsolid</w:t>
            </w:r>
            <w:r w:rsidR="007C14DA" w:rsidRPr="00602E38">
              <w:rPr>
                <w:sz w:val="16"/>
                <w:szCs w:val="16"/>
              </w:rPr>
              <w:t xml:space="preserve">ační položky; </w:t>
            </w:r>
            <w:proofErr w:type="spellStart"/>
            <w:r w:rsidR="007C14DA" w:rsidRPr="00602E38">
              <w:rPr>
                <w:sz w:val="16"/>
                <w:szCs w:val="16"/>
              </w:rPr>
              <w:t>vnitropřevody</w:t>
            </w:r>
            <w:proofErr w:type="spellEnd"/>
            <w:r w:rsidR="007C14DA" w:rsidRPr="00602E38">
              <w:rPr>
                <w:sz w:val="16"/>
                <w:szCs w:val="16"/>
              </w:rPr>
              <w:t xml:space="preserve"> finančních</w:t>
            </w:r>
            <w:r w:rsidRPr="00602E38">
              <w:rPr>
                <w:sz w:val="16"/>
                <w:szCs w:val="16"/>
              </w:rPr>
              <w:t xml:space="preserve"> prostředků mezi účty a fondy. </w:t>
            </w:r>
            <w:r w:rsidR="00555F84" w:rsidRPr="00602E38">
              <w:rPr>
                <w:sz w:val="16"/>
                <w:szCs w:val="16"/>
              </w:rPr>
              <w:t>Na základě platné rozpočtové skladby nemusí být</w:t>
            </w:r>
            <w:r w:rsidR="0096422B">
              <w:rPr>
                <w:sz w:val="16"/>
                <w:szCs w:val="16"/>
              </w:rPr>
              <w:t xml:space="preserve"> tyto příjmy</w:t>
            </w:r>
            <w:r w:rsidR="00555F84" w:rsidRPr="00602E38">
              <w:rPr>
                <w:sz w:val="16"/>
                <w:szCs w:val="16"/>
              </w:rPr>
              <w:t xml:space="preserve"> rozpočtovány </w:t>
            </w:r>
            <w:r w:rsidRPr="00602E38">
              <w:rPr>
                <w:sz w:val="16"/>
                <w:szCs w:val="16"/>
              </w:rPr>
              <w:t>a svým objemem mají úzký vztah na výdaje v</w:t>
            </w:r>
            <w:r w:rsidR="001569EF" w:rsidRPr="00602E38">
              <w:rPr>
                <w:sz w:val="16"/>
                <w:szCs w:val="16"/>
              </w:rPr>
              <w:t> </w:t>
            </w:r>
            <w:r w:rsidRPr="00602E38">
              <w:rPr>
                <w:sz w:val="16"/>
                <w:szCs w:val="16"/>
              </w:rPr>
              <w:t>konsolidaci (stejný objem v</w:t>
            </w:r>
            <w:r w:rsidR="00A27176">
              <w:rPr>
                <w:sz w:val="16"/>
                <w:szCs w:val="16"/>
              </w:rPr>
              <w:t> </w:t>
            </w:r>
            <w:r w:rsidRPr="00602E38">
              <w:rPr>
                <w:sz w:val="16"/>
                <w:szCs w:val="16"/>
              </w:rPr>
              <w:t>rámci</w:t>
            </w:r>
            <w:r w:rsidR="00A27176">
              <w:rPr>
                <w:sz w:val="16"/>
                <w:szCs w:val="16"/>
              </w:rPr>
              <w:t xml:space="preserve"> celkového</w:t>
            </w:r>
            <w:r w:rsidRPr="00602E38">
              <w:rPr>
                <w:sz w:val="16"/>
                <w:szCs w:val="16"/>
              </w:rPr>
              <w:t xml:space="preserve"> rozpočtu</w:t>
            </w:r>
            <w:r w:rsidR="00E549DF" w:rsidRPr="00602E38">
              <w:rPr>
                <w:sz w:val="16"/>
                <w:szCs w:val="16"/>
              </w:rPr>
              <w:t xml:space="preserve"> města</w:t>
            </w:r>
            <w:r w:rsidR="00786CB4">
              <w:rPr>
                <w:sz w:val="16"/>
                <w:szCs w:val="16"/>
              </w:rPr>
              <w:t>)</w:t>
            </w:r>
          </w:p>
        </w:tc>
      </w:tr>
      <w:tr w:rsidR="00A27176" w:rsidRPr="002E522E" w:rsidTr="005C18C2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A27176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A27176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2111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A27176" w:rsidP="00CF5E76">
            <w:pPr>
              <w:jc w:val="center"/>
              <w:rPr>
                <w:sz w:val="14"/>
                <w:szCs w:val="14"/>
              </w:rPr>
            </w:pPr>
            <w:r w:rsidRPr="002E522E">
              <w:rPr>
                <w:sz w:val="14"/>
                <w:szCs w:val="14"/>
              </w:rPr>
              <w:t>0700000000000</w:t>
            </w:r>
          </w:p>
          <w:p w:rsidR="00A27176" w:rsidRPr="002E522E" w:rsidRDefault="00A27176" w:rsidP="00CF5E76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A271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96422B" w:rsidP="0096422B">
            <w:pPr>
              <w:jc w:val="right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100</w:t>
            </w:r>
            <w:r w:rsidR="00A27176" w:rsidRPr="002E522E">
              <w:rPr>
                <w:sz w:val="16"/>
                <w:szCs w:val="16"/>
              </w:rPr>
              <w:t>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176" w:rsidRPr="002E522E" w:rsidRDefault="0096422B">
            <w:pPr>
              <w:jc w:val="right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223,41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7176" w:rsidRPr="002E522E" w:rsidRDefault="00A27176" w:rsidP="001569E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E52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Příjmy z poskytování služeb a výrobků</w:t>
            </w:r>
          </w:p>
          <w:p w:rsidR="00A27176" w:rsidRPr="002E522E" w:rsidRDefault="00A27176" w:rsidP="005C18C2">
            <w:pPr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Nerozpočtované příjmy (pohledávka 7029 - Hanácké slavnosti</w:t>
            </w:r>
            <w:r w:rsidR="002E522E" w:rsidRPr="002E522E">
              <w:rPr>
                <w:sz w:val="16"/>
                <w:szCs w:val="16"/>
              </w:rPr>
              <w:t>, Vánoční trhy – 215.410 K</w:t>
            </w:r>
            <w:r w:rsidR="00177F0D">
              <w:rPr>
                <w:sz w:val="16"/>
                <w:szCs w:val="16"/>
              </w:rPr>
              <w:t>č</w:t>
            </w:r>
            <w:bookmarkStart w:id="0" w:name="_GoBack"/>
            <w:bookmarkEnd w:id="0"/>
            <w:r w:rsidR="002E522E" w:rsidRPr="002E522E">
              <w:rPr>
                <w:sz w:val="16"/>
                <w:szCs w:val="16"/>
              </w:rPr>
              <w:t>;</w:t>
            </w:r>
            <w:r w:rsidRPr="002E522E">
              <w:rPr>
                <w:sz w:val="16"/>
                <w:szCs w:val="16"/>
              </w:rPr>
              <w:t xml:space="preserve"> </w:t>
            </w:r>
            <w:r w:rsidR="005C18C2" w:rsidRPr="002E522E">
              <w:rPr>
                <w:sz w:val="16"/>
                <w:szCs w:val="16"/>
              </w:rPr>
              <w:t xml:space="preserve">7026 – náklady řízení </w:t>
            </w:r>
            <w:r w:rsidR="002E522E" w:rsidRPr="002E522E">
              <w:rPr>
                <w:sz w:val="16"/>
                <w:szCs w:val="16"/>
              </w:rPr>
              <w:t>–</w:t>
            </w:r>
            <w:r w:rsidR="005C18C2" w:rsidRPr="002E522E">
              <w:rPr>
                <w:sz w:val="16"/>
                <w:szCs w:val="16"/>
              </w:rPr>
              <w:t xml:space="preserve"> ŽÚ</w:t>
            </w:r>
            <w:r w:rsidR="002E522E" w:rsidRPr="002E522E">
              <w:rPr>
                <w:sz w:val="16"/>
                <w:szCs w:val="16"/>
              </w:rPr>
              <w:t xml:space="preserve"> – 8.000 Kč</w:t>
            </w:r>
            <w:r w:rsidRPr="002E522E">
              <w:rPr>
                <w:sz w:val="16"/>
                <w:szCs w:val="16"/>
              </w:rPr>
              <w:t>).</w:t>
            </w:r>
          </w:p>
        </w:tc>
      </w:tr>
      <w:tr w:rsidR="002E522E" w:rsidRPr="002E522E" w:rsidTr="005C18C2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76" w:rsidRPr="002E522E" w:rsidRDefault="00A27176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76" w:rsidRPr="002E522E" w:rsidRDefault="00A27176" w:rsidP="0096422B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221</w:t>
            </w:r>
            <w:r w:rsidR="0096422B" w:rsidRPr="002E522E">
              <w:rPr>
                <w:sz w:val="16"/>
                <w:szCs w:val="16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76" w:rsidRPr="002E522E" w:rsidRDefault="00A27176" w:rsidP="00CF5E76">
            <w:pPr>
              <w:jc w:val="center"/>
              <w:rPr>
                <w:sz w:val="14"/>
                <w:szCs w:val="14"/>
              </w:rPr>
            </w:pPr>
            <w:r w:rsidRPr="002E522E">
              <w:rPr>
                <w:sz w:val="14"/>
                <w:szCs w:val="14"/>
              </w:rPr>
              <w:t>0700000000000</w:t>
            </w:r>
          </w:p>
          <w:p w:rsidR="00A27176" w:rsidRPr="002E522E" w:rsidRDefault="00A27176" w:rsidP="00CF5E76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76" w:rsidRPr="002E522E" w:rsidRDefault="00A271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76" w:rsidRPr="002E522E" w:rsidRDefault="0096422B">
            <w:pPr>
              <w:jc w:val="right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1.000,00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7176" w:rsidRPr="002E522E" w:rsidRDefault="0096422B">
            <w:pPr>
              <w:jc w:val="right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1.232,93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6" w:rsidRPr="002E522E" w:rsidRDefault="00A27176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E52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Sankční platby přijaté od </w:t>
            </w:r>
            <w:r w:rsidR="0096422B" w:rsidRPr="002E52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jiných subjektů</w:t>
            </w:r>
          </w:p>
          <w:p w:rsidR="00A27176" w:rsidRPr="002E522E" w:rsidRDefault="00A27176" w:rsidP="002E522E">
            <w:pPr>
              <w:jc w:val="both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 xml:space="preserve">V kapitole 70 je účtována část odvodů z pokut </w:t>
            </w:r>
            <w:r w:rsidR="002E522E" w:rsidRPr="002E522E">
              <w:rPr>
                <w:sz w:val="16"/>
                <w:szCs w:val="16"/>
              </w:rPr>
              <w:t xml:space="preserve">odborů </w:t>
            </w:r>
            <w:proofErr w:type="spellStart"/>
            <w:r w:rsidR="002E522E" w:rsidRPr="002E522E">
              <w:rPr>
                <w:sz w:val="16"/>
                <w:szCs w:val="16"/>
              </w:rPr>
              <w:t>MMPv</w:t>
            </w:r>
            <w:proofErr w:type="spellEnd"/>
            <w:r w:rsidR="002E522E" w:rsidRPr="002E522E">
              <w:rPr>
                <w:sz w:val="16"/>
                <w:szCs w:val="16"/>
              </w:rPr>
              <w:t xml:space="preserve"> (7010 – 101.000 Kč; 7012 -384.730 Kč; 7017 – 134.500 Kč; 9009 – 340.000 Kč; 7008 – 186.500 Kč; ostatní – 89.200 Kč). Při sestavování rozpočtu nelze přesně určit počet těchto úkonů. Vychází se z určité časové řady let minulých</w:t>
            </w:r>
          </w:p>
        </w:tc>
      </w:tr>
      <w:tr w:rsidR="00A27176" w:rsidRPr="002E522E" w:rsidTr="00A2717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A27176" w:rsidP="00A27176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lastRenderedPageBreak/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A27176" w:rsidP="004679AF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2322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A27176" w:rsidP="00CF5E76">
            <w:pPr>
              <w:jc w:val="center"/>
              <w:rPr>
                <w:sz w:val="14"/>
                <w:szCs w:val="14"/>
              </w:rPr>
            </w:pPr>
            <w:r w:rsidRPr="002E522E"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A271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76" w:rsidRPr="002E522E" w:rsidRDefault="0096422B">
            <w:pPr>
              <w:jc w:val="right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266,11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176" w:rsidRPr="002E522E" w:rsidRDefault="0096422B">
            <w:pPr>
              <w:jc w:val="right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476,80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6" w:rsidRPr="002E522E" w:rsidRDefault="00A27176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E52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Přijaté pojistné náhrady</w:t>
            </w:r>
          </w:p>
          <w:p w:rsidR="00A27176" w:rsidRPr="002E522E" w:rsidRDefault="00A27176" w:rsidP="00A27176">
            <w:pPr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Příjmy jsou závislé na počtu uznaných li</w:t>
            </w:r>
            <w:r w:rsidR="00786CB4">
              <w:rPr>
                <w:sz w:val="16"/>
                <w:szCs w:val="16"/>
              </w:rPr>
              <w:t>kvidovaných pojistných událostí</w:t>
            </w:r>
          </w:p>
        </w:tc>
      </w:tr>
      <w:tr w:rsidR="00C57B3B" w:rsidRPr="00C57B3B" w:rsidTr="005C18C2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>
            <w:pPr>
              <w:jc w:val="center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>
            <w:pPr>
              <w:jc w:val="center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2324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 w:rsidP="00CF5E76">
            <w:pPr>
              <w:jc w:val="center"/>
              <w:rPr>
                <w:sz w:val="14"/>
                <w:szCs w:val="14"/>
              </w:rPr>
            </w:pPr>
            <w:r w:rsidRPr="00C57B3B"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6E454A" w:rsidP="00A27176">
            <w:pPr>
              <w:jc w:val="right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133,99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482F" w:rsidRPr="00C57B3B" w:rsidRDefault="006E454A">
            <w:pPr>
              <w:jc w:val="right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366,11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F" w:rsidRPr="00C57B3B" w:rsidRDefault="0092482F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57B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Přijaté nekapitálové příspěvky a náhrady</w:t>
            </w:r>
          </w:p>
          <w:p w:rsidR="0092482F" w:rsidRPr="00C57B3B" w:rsidRDefault="00C57B3B" w:rsidP="00C57B3B">
            <w:pPr>
              <w:jc w:val="both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ČPP – bonifikace pojištění maj</w:t>
            </w:r>
            <w:r>
              <w:rPr>
                <w:sz w:val="16"/>
                <w:szCs w:val="16"/>
              </w:rPr>
              <w:t>e</w:t>
            </w:r>
            <w:r w:rsidRPr="00C57B3B">
              <w:rPr>
                <w:sz w:val="16"/>
                <w:szCs w:val="16"/>
              </w:rPr>
              <w:t>tku města za ro</w:t>
            </w:r>
            <w:r>
              <w:rPr>
                <w:sz w:val="16"/>
                <w:szCs w:val="16"/>
              </w:rPr>
              <w:t>k</w:t>
            </w:r>
            <w:r w:rsidRPr="00C57B3B">
              <w:rPr>
                <w:sz w:val="16"/>
                <w:szCs w:val="16"/>
              </w:rPr>
              <w:t xml:space="preserve"> 2013 – 220.011 Kč; p</w:t>
            </w:r>
            <w:r w:rsidR="0092482F" w:rsidRPr="00C57B3B">
              <w:rPr>
                <w:sz w:val="16"/>
                <w:szCs w:val="16"/>
              </w:rPr>
              <w:t xml:space="preserve">ohledávka 7027 – náhrady škody – </w:t>
            </w:r>
            <w:r w:rsidR="002E522E" w:rsidRPr="00C57B3B">
              <w:rPr>
                <w:sz w:val="16"/>
                <w:szCs w:val="16"/>
              </w:rPr>
              <w:t>10.686</w:t>
            </w:r>
            <w:r w:rsidR="0092482F" w:rsidRPr="00C57B3B">
              <w:rPr>
                <w:sz w:val="16"/>
                <w:szCs w:val="16"/>
              </w:rPr>
              <w:t xml:space="preserve"> Kč; náhrady po zemřelých</w:t>
            </w:r>
            <w:r w:rsidR="005C18C2" w:rsidRPr="00C57B3B">
              <w:rPr>
                <w:sz w:val="16"/>
                <w:szCs w:val="16"/>
              </w:rPr>
              <w:t>, pohřebné</w:t>
            </w:r>
            <w:r w:rsidR="0092482F" w:rsidRPr="00C57B3B">
              <w:rPr>
                <w:sz w:val="16"/>
                <w:szCs w:val="16"/>
              </w:rPr>
              <w:t xml:space="preserve"> apod.</w:t>
            </w:r>
            <w:r w:rsidRPr="00C57B3B">
              <w:rPr>
                <w:sz w:val="16"/>
                <w:szCs w:val="16"/>
              </w:rPr>
              <w:t xml:space="preserve"> Při sestavování rozpočtu nelze přesně určit počet těchto úkonů. Vychází se z určité časové řady let minulých</w:t>
            </w:r>
          </w:p>
        </w:tc>
      </w:tr>
      <w:tr w:rsidR="00C57B3B" w:rsidRPr="00C57B3B" w:rsidTr="005C18C2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>
            <w:pPr>
              <w:jc w:val="center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006171</w:t>
            </w:r>
          </w:p>
          <w:p w:rsidR="0092482F" w:rsidRPr="00C57B3B" w:rsidRDefault="00924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>
            <w:pPr>
              <w:jc w:val="center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2329</w:t>
            </w:r>
          </w:p>
          <w:p w:rsidR="0092482F" w:rsidRPr="00C57B3B" w:rsidRDefault="00924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 w:rsidP="00CF5E76">
            <w:pPr>
              <w:jc w:val="center"/>
              <w:rPr>
                <w:sz w:val="14"/>
                <w:szCs w:val="14"/>
              </w:rPr>
            </w:pPr>
            <w:r w:rsidRPr="00C57B3B"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>
            <w:pPr>
              <w:jc w:val="right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0,00</w:t>
            </w:r>
          </w:p>
          <w:p w:rsidR="0092482F" w:rsidRPr="00C57B3B" w:rsidRDefault="009248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2482F" w:rsidRPr="00C57B3B" w:rsidRDefault="006E454A">
            <w:pPr>
              <w:jc w:val="right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4.246,88</w:t>
            </w:r>
          </w:p>
          <w:p w:rsidR="0092482F" w:rsidRPr="00C57B3B" w:rsidRDefault="009248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482F" w:rsidRPr="00C57B3B" w:rsidRDefault="0092482F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57B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Ostatní nedaňové příjmy </w:t>
            </w:r>
            <w:proofErr w:type="spellStart"/>
            <w:r w:rsidRPr="00C57B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j.n</w:t>
            </w:r>
            <w:proofErr w:type="spellEnd"/>
            <w:r w:rsidRPr="00C57B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92482F" w:rsidRPr="00C57B3B" w:rsidRDefault="0092482F" w:rsidP="00C57B3B">
            <w:pPr>
              <w:jc w:val="both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Nerozpočtovaná položka; např. převod deponovaných prostředků roku 201</w:t>
            </w:r>
            <w:r w:rsidR="00C57B3B" w:rsidRPr="00C57B3B">
              <w:rPr>
                <w:sz w:val="16"/>
                <w:szCs w:val="16"/>
              </w:rPr>
              <w:t>3</w:t>
            </w:r>
            <w:r w:rsidRPr="00C57B3B">
              <w:rPr>
                <w:sz w:val="16"/>
                <w:szCs w:val="16"/>
              </w:rPr>
              <w:t xml:space="preserve"> z depozit – faktury, mzdy (</w:t>
            </w:r>
            <w:r w:rsidR="00C57B3B" w:rsidRPr="00C57B3B">
              <w:rPr>
                <w:sz w:val="16"/>
                <w:szCs w:val="16"/>
              </w:rPr>
              <w:t>3.633.046,23</w:t>
            </w:r>
            <w:r w:rsidRPr="00C57B3B">
              <w:rPr>
                <w:sz w:val="16"/>
                <w:szCs w:val="16"/>
              </w:rPr>
              <w:t xml:space="preserve"> Kč)</w:t>
            </w:r>
            <w:r w:rsidR="005C18C2" w:rsidRPr="00C57B3B">
              <w:rPr>
                <w:sz w:val="16"/>
                <w:szCs w:val="16"/>
              </w:rPr>
              <w:t xml:space="preserve">, </w:t>
            </w:r>
            <w:r w:rsidR="00C57B3B" w:rsidRPr="00C57B3B">
              <w:rPr>
                <w:sz w:val="16"/>
                <w:szCs w:val="16"/>
              </w:rPr>
              <w:t>EON – přeplatek (139.423 Kč), ČPP – bonifikace pojištění majetku města za ro</w:t>
            </w:r>
            <w:r w:rsidR="00C57B3B">
              <w:rPr>
                <w:sz w:val="16"/>
                <w:szCs w:val="16"/>
              </w:rPr>
              <w:t>k</w:t>
            </w:r>
            <w:r w:rsidR="00C57B3B" w:rsidRPr="00C57B3B">
              <w:rPr>
                <w:sz w:val="16"/>
                <w:szCs w:val="16"/>
              </w:rPr>
              <w:t xml:space="preserve"> 2012 (172.940 Kč) </w:t>
            </w:r>
            <w:r w:rsidRPr="00C57B3B">
              <w:rPr>
                <w:sz w:val="16"/>
                <w:szCs w:val="16"/>
              </w:rPr>
              <w:t xml:space="preserve">a další menší částky (mylné platby, přeplatky, </w:t>
            </w:r>
            <w:r w:rsidR="00786CB4">
              <w:rPr>
                <w:sz w:val="16"/>
                <w:szCs w:val="16"/>
              </w:rPr>
              <w:t>kauce, vratky, dobropisy apod.)</w:t>
            </w:r>
          </w:p>
        </w:tc>
      </w:tr>
      <w:tr w:rsidR="006E454A" w:rsidRPr="00A27176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Pr="00A27176" w:rsidRDefault="006E454A" w:rsidP="006E4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006310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Pr="00A27176" w:rsidRDefault="006E4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Default="006E454A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Pr="00A27176" w:rsidRDefault="006E45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Pr="00A27176" w:rsidRDefault="006E45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454A" w:rsidRDefault="006E45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1.408,28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454A" w:rsidRDefault="006E454A" w:rsidP="0039087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Příjmy z úroků</w:t>
            </w:r>
          </w:p>
          <w:p w:rsidR="006E454A" w:rsidRPr="006E454A" w:rsidRDefault="006E454A" w:rsidP="006E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 roce 2014 byla úročená vyšší částka finančních prostředků na běžných účtech, než předpokládal rozpočet sestavovaný pro rok 2014 v roce 2013</w:t>
            </w:r>
          </w:p>
        </w:tc>
      </w:tr>
      <w:tr w:rsidR="006E454A" w:rsidRPr="00F314D8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Pr="00F314D8" w:rsidRDefault="006E454A" w:rsidP="00147DB3">
            <w:pPr>
              <w:jc w:val="center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006399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Pr="00F314D8" w:rsidRDefault="006E454A">
            <w:pPr>
              <w:jc w:val="center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2329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Pr="00F314D8" w:rsidRDefault="006E454A" w:rsidP="00CF5E76">
            <w:pPr>
              <w:jc w:val="center"/>
              <w:rPr>
                <w:sz w:val="14"/>
                <w:szCs w:val="14"/>
              </w:rPr>
            </w:pPr>
            <w:r w:rsidRPr="00F314D8"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Pr="00F314D8" w:rsidRDefault="006E45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4A" w:rsidRPr="00F314D8" w:rsidRDefault="006E454A">
            <w:pPr>
              <w:jc w:val="right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454A" w:rsidRPr="00F314D8" w:rsidRDefault="006E454A">
            <w:pPr>
              <w:jc w:val="right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149,04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454A" w:rsidRPr="00F314D8" w:rsidRDefault="006E454A" w:rsidP="00390873">
            <w:pPr>
              <w:rPr>
                <w:b/>
                <w:sz w:val="16"/>
                <w:szCs w:val="16"/>
                <w:u w:val="single"/>
              </w:rPr>
            </w:pPr>
            <w:r w:rsidRPr="00F314D8">
              <w:rPr>
                <w:b/>
                <w:sz w:val="16"/>
                <w:szCs w:val="16"/>
                <w:u w:val="single"/>
              </w:rPr>
              <w:t xml:space="preserve">Ostatní nedaňové příjmy </w:t>
            </w:r>
            <w:proofErr w:type="spellStart"/>
            <w:r w:rsidRPr="00F314D8">
              <w:rPr>
                <w:b/>
                <w:sz w:val="16"/>
                <w:szCs w:val="16"/>
                <w:u w:val="single"/>
              </w:rPr>
              <w:t>j.n</w:t>
            </w:r>
            <w:proofErr w:type="spellEnd"/>
            <w:r w:rsidRPr="00F314D8">
              <w:rPr>
                <w:b/>
                <w:sz w:val="16"/>
                <w:szCs w:val="16"/>
                <w:u w:val="single"/>
              </w:rPr>
              <w:t>.</w:t>
            </w:r>
          </w:p>
          <w:p w:rsidR="006E454A" w:rsidRPr="00F314D8" w:rsidRDefault="00F314D8" w:rsidP="00390873">
            <w:pPr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Převod prostředků hospodářské čin</w:t>
            </w:r>
            <w:r>
              <w:rPr>
                <w:sz w:val="16"/>
                <w:szCs w:val="16"/>
              </w:rPr>
              <w:t>n</w:t>
            </w:r>
            <w:r w:rsidRPr="00F314D8">
              <w:rPr>
                <w:sz w:val="16"/>
                <w:szCs w:val="16"/>
              </w:rPr>
              <w:t>osti – ukončení k 1.1.2014</w:t>
            </w:r>
          </w:p>
        </w:tc>
      </w:tr>
      <w:tr w:rsidR="00030266" w:rsidRPr="00534A84" w:rsidTr="003720E6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</w:tr>
      <w:tr w:rsidR="00030266" w:rsidRPr="00534A84" w:rsidTr="00CF0740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030266" w:rsidRPr="00534A84" w:rsidRDefault="00030266">
            <w:pPr>
              <w:rPr>
                <w:b/>
                <w:bCs/>
                <w:u w:val="single"/>
              </w:rPr>
            </w:pPr>
            <w:r w:rsidRPr="00534A84">
              <w:rPr>
                <w:b/>
                <w:bCs/>
                <w:u w:val="single"/>
              </w:rPr>
              <w:t>Rozbor čerpání výdajů rozpočtu kapitoly</w:t>
            </w:r>
          </w:p>
        </w:tc>
      </w:tr>
      <w:tr w:rsidR="00030266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</w:tr>
      <w:tr w:rsidR="00030266" w:rsidRPr="00534A84" w:rsidTr="003720E6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30266" w:rsidRPr="003720E6" w:rsidRDefault="00030266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30266" w:rsidRPr="003720E6" w:rsidRDefault="000302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30266" w:rsidRPr="003720E6" w:rsidRDefault="000302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30266" w:rsidRPr="003720E6" w:rsidRDefault="000302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030266" w:rsidRPr="00534A84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66" w:rsidRPr="00534A84" w:rsidRDefault="00D73B50" w:rsidP="003450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63.534,30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66" w:rsidRPr="00534A84" w:rsidRDefault="00D73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863.239,08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66" w:rsidRPr="00534A84" w:rsidRDefault="00D73B50" w:rsidP="007712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1.358,70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66" w:rsidRPr="00534A84" w:rsidRDefault="00030266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Nekonsolidované výdaje</w:t>
            </w:r>
          </w:p>
        </w:tc>
      </w:tr>
      <w:tr w:rsidR="006F6471" w:rsidRPr="00534A84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71" w:rsidRPr="00534A84" w:rsidRDefault="00D73B50" w:rsidP="00CF5E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63.534,30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71" w:rsidRPr="00534A84" w:rsidRDefault="00D73B50" w:rsidP="001708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52.293,42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71" w:rsidRPr="00534A84" w:rsidRDefault="00D73B50" w:rsidP="006F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82,31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71" w:rsidRPr="00534A84" w:rsidRDefault="006F6471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Konsolidované výdaje</w:t>
            </w:r>
          </w:p>
        </w:tc>
      </w:tr>
      <w:tr w:rsidR="00030266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</w:tr>
      <w:tr w:rsidR="00030266" w:rsidRPr="00534A84" w:rsidTr="00CF5E76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30266" w:rsidRPr="00534A84" w:rsidRDefault="00030266" w:rsidP="003720E6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Stručný komentář k celkovému vývoji čerpání výdajů kapitoly ve sledovaném období</w:t>
            </w:r>
          </w:p>
        </w:tc>
      </w:tr>
      <w:tr w:rsidR="00030266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</w:tr>
      <w:tr w:rsidR="00030266" w:rsidRPr="00534A84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66" w:rsidRPr="00534A84" w:rsidRDefault="00030266" w:rsidP="009757E3">
            <w:pPr>
              <w:jc w:val="both"/>
            </w:pPr>
            <w:r w:rsidRPr="00534A84">
              <w:t xml:space="preserve">Konsolidované výdaje kapitoly ve sledovaném období svým </w:t>
            </w:r>
            <w:r w:rsidR="006F6471">
              <w:t xml:space="preserve">finančním </w:t>
            </w:r>
            <w:r w:rsidRPr="00534A84">
              <w:t>objemem čerpání ovlivnily zejména položky 5362</w:t>
            </w:r>
            <w:r w:rsidR="0092482F">
              <w:t xml:space="preserve"> (ORG 0700000000000)</w:t>
            </w:r>
            <w:r>
              <w:t xml:space="preserve">, </w:t>
            </w:r>
            <w:r w:rsidR="00D73B50">
              <w:t xml:space="preserve">5363 (ORG 0700000000000), </w:t>
            </w:r>
            <w:r w:rsidR="009757E3">
              <w:t xml:space="preserve"> 5909 (ORG 0700000000000), 5901 (ORG 0700000707100), 5901 (ORG 0700000707600), 5163 (ORG 0700000708200), </w:t>
            </w:r>
            <w:r w:rsidR="0092482F">
              <w:t>5362 (ORG 0700000708300) a</w:t>
            </w:r>
            <w:r>
              <w:t xml:space="preserve"> 6909</w:t>
            </w:r>
            <w:r w:rsidR="0092482F">
              <w:t xml:space="preserve"> (ORG 0700396000000).</w:t>
            </w:r>
            <w:r>
              <w:t xml:space="preserve"> </w:t>
            </w:r>
            <w:r w:rsidRPr="00534A84">
              <w:t>Bližší komentář je uveden v následující tabulce, společně s jiný</w:t>
            </w:r>
            <w:r w:rsidR="0092482F">
              <w:t>mi abnormalitami v řádném čerpání výdajů</w:t>
            </w:r>
            <w:r w:rsidRPr="00534A84">
              <w:t>.</w:t>
            </w:r>
          </w:p>
        </w:tc>
      </w:tr>
      <w:tr w:rsidR="00030266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</w:tr>
      <w:tr w:rsidR="00030266" w:rsidRPr="00534A84" w:rsidTr="00CF5E76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30266" w:rsidRPr="00534A84" w:rsidRDefault="00030266" w:rsidP="003720E6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Komentář k položkám (akcím), které vykázaly abnormalitu v řádném čerpání výdajů rozpočtu kapitoly ve sledovaném období</w:t>
            </w:r>
          </w:p>
        </w:tc>
      </w:tr>
      <w:tr w:rsidR="00030266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  <w:r w:rsidRPr="00534A84"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030266" w:rsidRPr="00534A84" w:rsidRDefault="00030266">
            <w:pPr>
              <w:rPr>
                <w:b/>
                <w:bCs/>
              </w:rPr>
            </w:pPr>
          </w:p>
        </w:tc>
      </w:tr>
      <w:tr w:rsidR="00030266" w:rsidRPr="00534A84" w:rsidTr="003720E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030266" w:rsidRDefault="00030266" w:rsidP="00C42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 w:rsidP="00C42612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266" w:rsidRPr="003720E6" w:rsidRDefault="00030266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92482F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>
            <w:pPr>
              <w:jc w:val="center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2F2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5137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Default="0092482F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Default="0092482F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2F2E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2F2E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2F2E2A" w:rsidP="00233398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DHDM</w:t>
            </w:r>
          </w:p>
          <w:p w:rsidR="0092482F" w:rsidRPr="0092482F" w:rsidRDefault="00786CB4" w:rsidP="002333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Čerpání dle potřeby</w:t>
            </w:r>
          </w:p>
        </w:tc>
      </w:tr>
      <w:tr w:rsidR="0092482F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92482F">
              <w:rPr>
                <w:sz w:val="16"/>
                <w:szCs w:val="16"/>
              </w:rPr>
              <w:t>6330</w:t>
            </w:r>
          </w:p>
          <w:p w:rsidR="0092482F" w:rsidRPr="0092482F" w:rsidRDefault="00924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>
            <w:pPr>
              <w:jc w:val="center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5342</w:t>
            </w:r>
          </w:p>
          <w:p w:rsidR="0092482F" w:rsidRPr="0092482F" w:rsidRDefault="0092482F">
            <w:pPr>
              <w:jc w:val="center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534</w:t>
            </w:r>
            <w:r>
              <w:rPr>
                <w:sz w:val="16"/>
                <w:szCs w:val="16"/>
              </w:rPr>
              <w:t>4</w:t>
            </w:r>
          </w:p>
          <w:p w:rsidR="0092482F" w:rsidRPr="0092482F" w:rsidRDefault="0092482F" w:rsidP="00CE14A9">
            <w:pPr>
              <w:jc w:val="center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534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Default="0092482F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92482F" w:rsidRDefault="0092482F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92482F" w:rsidRPr="008E2B5A" w:rsidRDefault="0092482F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Default="0092482F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>
            <w:pPr>
              <w:jc w:val="right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0,00</w:t>
            </w:r>
          </w:p>
          <w:p w:rsidR="0092482F" w:rsidRPr="0092482F" w:rsidRDefault="0092482F">
            <w:pPr>
              <w:jc w:val="right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0,00</w:t>
            </w:r>
          </w:p>
          <w:p w:rsidR="0092482F" w:rsidRPr="0092482F" w:rsidRDefault="0092482F" w:rsidP="00CE14A9">
            <w:pPr>
              <w:jc w:val="right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0,0</w:t>
            </w:r>
            <w:r w:rsidR="00CE14A9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Default="002F2E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2.489,75</w:t>
            </w:r>
          </w:p>
          <w:p w:rsidR="002F2E2A" w:rsidRDefault="002F2E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31.536,27</w:t>
            </w:r>
          </w:p>
          <w:p w:rsidR="002F2E2A" w:rsidRPr="0092482F" w:rsidRDefault="002F2E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776.919,64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 w:rsidP="00F846F6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92482F">
              <w:rPr>
                <w:b/>
                <w:bCs/>
                <w:sz w:val="16"/>
                <w:szCs w:val="16"/>
                <w:u w:val="single"/>
              </w:rPr>
              <w:t>Převody FKSP a soc. fondu obcí a krajů</w:t>
            </w:r>
            <w:r w:rsidR="00CE14A9">
              <w:rPr>
                <w:b/>
                <w:bCs/>
                <w:sz w:val="16"/>
                <w:szCs w:val="16"/>
                <w:u w:val="single"/>
              </w:rPr>
              <w:t xml:space="preserve">; </w:t>
            </w:r>
            <w:r w:rsidRPr="0092482F">
              <w:rPr>
                <w:b/>
                <w:bCs/>
                <w:sz w:val="16"/>
                <w:szCs w:val="16"/>
                <w:u w:val="single"/>
              </w:rPr>
              <w:t xml:space="preserve">Převody vlastním </w:t>
            </w:r>
            <w:r w:rsidR="00CE14A9">
              <w:rPr>
                <w:b/>
                <w:bCs/>
                <w:sz w:val="16"/>
                <w:szCs w:val="16"/>
                <w:u w:val="single"/>
              </w:rPr>
              <w:t>rezervním fondům</w:t>
            </w:r>
            <w:r w:rsidR="002F2E2A">
              <w:rPr>
                <w:b/>
                <w:bCs/>
                <w:sz w:val="16"/>
                <w:szCs w:val="16"/>
                <w:u w:val="single"/>
              </w:rPr>
              <w:t xml:space="preserve"> územních </w:t>
            </w:r>
            <w:proofErr w:type="spellStart"/>
            <w:r w:rsidR="002F2E2A">
              <w:rPr>
                <w:b/>
                <w:bCs/>
                <w:sz w:val="16"/>
                <w:szCs w:val="16"/>
                <w:u w:val="single"/>
              </w:rPr>
              <w:t>rozp</w:t>
            </w:r>
            <w:proofErr w:type="spellEnd"/>
            <w:r w:rsidR="002F2E2A">
              <w:rPr>
                <w:b/>
                <w:bCs/>
                <w:sz w:val="16"/>
                <w:szCs w:val="16"/>
                <w:u w:val="single"/>
              </w:rPr>
              <w:t>.</w:t>
            </w:r>
            <w:r w:rsidR="00CE14A9">
              <w:rPr>
                <w:b/>
                <w:bCs/>
                <w:sz w:val="16"/>
                <w:szCs w:val="16"/>
                <w:u w:val="single"/>
              </w:rPr>
              <w:t>; Převody vlastním rozpočtovým účtům</w:t>
            </w:r>
          </w:p>
          <w:p w:rsidR="0092482F" w:rsidRPr="0092482F" w:rsidRDefault="0092482F" w:rsidP="00CE14A9">
            <w:pPr>
              <w:jc w:val="both"/>
              <w:rPr>
                <w:b/>
                <w:bCs/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 xml:space="preserve">Konsolidační položky </w:t>
            </w:r>
            <w:proofErr w:type="spellStart"/>
            <w:r w:rsidRPr="0092482F">
              <w:rPr>
                <w:sz w:val="16"/>
                <w:szCs w:val="16"/>
              </w:rPr>
              <w:t>vnitropřevodů</w:t>
            </w:r>
            <w:proofErr w:type="spellEnd"/>
            <w:r w:rsidRPr="0092482F">
              <w:rPr>
                <w:sz w:val="16"/>
                <w:szCs w:val="16"/>
              </w:rPr>
              <w:t xml:space="preserve"> finančních prostředků mezi účty a fondy města. Na základě platné rozpočtové skladby nemusí být</w:t>
            </w:r>
            <w:r w:rsidR="002F2E2A">
              <w:rPr>
                <w:sz w:val="16"/>
                <w:szCs w:val="16"/>
              </w:rPr>
              <w:t xml:space="preserve"> tyto výdaje</w:t>
            </w:r>
            <w:r w:rsidRPr="0092482F">
              <w:rPr>
                <w:sz w:val="16"/>
                <w:szCs w:val="16"/>
              </w:rPr>
              <w:t xml:space="preserve"> rozpočtovány a svým objemem mají úzký vztah na příjmy v konsolidaci (stejný objem v</w:t>
            </w:r>
            <w:r w:rsidR="00CE14A9">
              <w:rPr>
                <w:sz w:val="16"/>
                <w:szCs w:val="16"/>
              </w:rPr>
              <w:t> </w:t>
            </w:r>
            <w:r w:rsidRPr="0092482F">
              <w:rPr>
                <w:sz w:val="16"/>
                <w:szCs w:val="16"/>
              </w:rPr>
              <w:t>rámci</w:t>
            </w:r>
            <w:r w:rsidR="00CE14A9">
              <w:rPr>
                <w:sz w:val="16"/>
                <w:szCs w:val="16"/>
              </w:rPr>
              <w:t xml:space="preserve"> celkového</w:t>
            </w:r>
            <w:r w:rsidRPr="0092482F">
              <w:rPr>
                <w:sz w:val="16"/>
                <w:szCs w:val="16"/>
              </w:rPr>
              <w:t xml:space="preserve"> rozpočtu </w:t>
            </w:r>
            <w:r w:rsidR="00CE14A9">
              <w:rPr>
                <w:sz w:val="16"/>
                <w:szCs w:val="16"/>
              </w:rPr>
              <w:t>města</w:t>
            </w:r>
            <w:r w:rsidRPr="0092482F">
              <w:rPr>
                <w:sz w:val="16"/>
                <w:szCs w:val="16"/>
              </w:rPr>
              <w:t>)</w:t>
            </w:r>
          </w:p>
        </w:tc>
      </w:tr>
      <w:tr w:rsidR="0092482F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CE1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92482F" w:rsidRPr="0092482F">
              <w:rPr>
                <w:sz w:val="16"/>
                <w:szCs w:val="16"/>
              </w:rPr>
              <w:t>6399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>
            <w:pPr>
              <w:jc w:val="center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5362</w:t>
            </w:r>
          </w:p>
          <w:p w:rsidR="0092482F" w:rsidRPr="0092482F" w:rsidRDefault="00924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Default="0092482F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Default="0092482F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2F2E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2F2E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20.155,98</w:t>
            </w:r>
          </w:p>
          <w:p w:rsidR="0092482F" w:rsidRPr="0092482F" w:rsidRDefault="009248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 w:rsidP="00F846F6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92482F">
              <w:rPr>
                <w:b/>
                <w:bCs/>
                <w:sz w:val="16"/>
                <w:szCs w:val="16"/>
                <w:u w:val="single"/>
              </w:rPr>
              <w:t>Platby daní a poplatků</w:t>
            </w:r>
            <w:r w:rsidR="002F2E2A">
              <w:rPr>
                <w:b/>
                <w:bCs/>
                <w:sz w:val="16"/>
                <w:szCs w:val="16"/>
                <w:u w:val="single"/>
              </w:rPr>
              <w:t xml:space="preserve"> státnímu rozpočtu</w:t>
            </w:r>
          </w:p>
          <w:p w:rsidR="0092482F" w:rsidRPr="0092482F" w:rsidRDefault="0092482F" w:rsidP="00F846F6">
            <w:pPr>
              <w:jc w:val="both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DPPO placená obcí; plnění daně má úzký vztah na příjem této daně. V</w:t>
            </w:r>
            <w:r w:rsidR="00CE14A9">
              <w:rPr>
                <w:sz w:val="16"/>
                <w:szCs w:val="16"/>
              </w:rPr>
              <w:t> </w:t>
            </w:r>
            <w:r w:rsidRPr="0092482F">
              <w:rPr>
                <w:sz w:val="16"/>
                <w:szCs w:val="16"/>
              </w:rPr>
              <w:t>plnění rozpočtu města je proúčtována stejná částka v</w:t>
            </w:r>
            <w:r w:rsidR="00CE14A9">
              <w:rPr>
                <w:sz w:val="16"/>
                <w:szCs w:val="16"/>
              </w:rPr>
              <w:t> </w:t>
            </w:r>
            <w:r w:rsidRPr="0092482F">
              <w:rPr>
                <w:sz w:val="16"/>
                <w:szCs w:val="16"/>
              </w:rPr>
              <w:t>příjmech i ve výdajích města; město je</w:t>
            </w:r>
            <w:r w:rsidR="004E061E">
              <w:rPr>
                <w:sz w:val="16"/>
                <w:szCs w:val="16"/>
              </w:rPr>
              <w:t xml:space="preserve"> plátcem i příjemcem této daně</w:t>
            </w:r>
          </w:p>
        </w:tc>
      </w:tr>
      <w:tr w:rsidR="00CE14A9" w:rsidRPr="00F314D8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F314D8" w:rsidRDefault="00CE14A9">
            <w:pPr>
              <w:jc w:val="center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006409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F314D8" w:rsidRDefault="00CE14A9">
            <w:pPr>
              <w:jc w:val="center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5363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F314D8" w:rsidRDefault="00CE14A9" w:rsidP="00CF5E76">
            <w:pPr>
              <w:jc w:val="center"/>
              <w:rPr>
                <w:sz w:val="14"/>
                <w:szCs w:val="14"/>
              </w:rPr>
            </w:pPr>
            <w:r w:rsidRPr="00F314D8"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F314D8" w:rsidRDefault="00CE14A9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F314D8" w:rsidRDefault="002F2E2A">
            <w:pPr>
              <w:jc w:val="right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F314D8" w:rsidRDefault="002F2E2A">
            <w:pPr>
              <w:jc w:val="right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1,48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F314D8" w:rsidRDefault="00CE14A9" w:rsidP="00F846F6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F314D8">
              <w:rPr>
                <w:b/>
                <w:bCs/>
                <w:sz w:val="16"/>
                <w:szCs w:val="16"/>
                <w:u w:val="single"/>
              </w:rPr>
              <w:t>Úhrady sankcí jiným rozpočtům</w:t>
            </w:r>
          </w:p>
          <w:p w:rsidR="00CE14A9" w:rsidRPr="00F314D8" w:rsidRDefault="00CE14A9" w:rsidP="00CE14A9">
            <w:pPr>
              <w:jc w:val="both"/>
              <w:rPr>
                <w:bCs/>
                <w:sz w:val="16"/>
                <w:szCs w:val="16"/>
              </w:rPr>
            </w:pPr>
            <w:r w:rsidRPr="00F314D8">
              <w:rPr>
                <w:bCs/>
                <w:sz w:val="16"/>
                <w:szCs w:val="16"/>
              </w:rPr>
              <w:t>Úhrady dle skutečnosti v rámci zmírnění tvrdosti zákona</w:t>
            </w:r>
            <w:r w:rsidR="00F314D8" w:rsidRPr="00F314D8">
              <w:rPr>
                <w:bCs/>
                <w:sz w:val="16"/>
                <w:szCs w:val="16"/>
              </w:rPr>
              <w:t xml:space="preserve"> (pouze úrok z prodlení – daň z nabytí nemovitých věcí)</w:t>
            </w:r>
          </w:p>
        </w:tc>
      </w:tr>
      <w:tr w:rsidR="0092482F" w:rsidRPr="00F314D8" w:rsidTr="005C18C2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F314D8" w:rsidRDefault="00CE14A9" w:rsidP="0018225C">
            <w:pPr>
              <w:jc w:val="center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00</w:t>
            </w:r>
            <w:r w:rsidR="0092482F" w:rsidRPr="00F314D8">
              <w:rPr>
                <w:sz w:val="16"/>
                <w:szCs w:val="16"/>
              </w:rPr>
              <w:t>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F314D8" w:rsidRDefault="0092482F" w:rsidP="0018225C">
            <w:pPr>
              <w:jc w:val="center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5909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F314D8" w:rsidRDefault="0092482F" w:rsidP="00CF5E76">
            <w:pPr>
              <w:jc w:val="center"/>
              <w:rPr>
                <w:sz w:val="14"/>
                <w:szCs w:val="14"/>
              </w:rPr>
            </w:pPr>
            <w:r w:rsidRPr="00F314D8"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F314D8" w:rsidRDefault="0092482F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F314D8" w:rsidRDefault="0092482F" w:rsidP="0018225C">
            <w:pPr>
              <w:jc w:val="right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F314D8" w:rsidRDefault="002F2E2A" w:rsidP="0018225C">
            <w:pPr>
              <w:jc w:val="right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1.986,66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2F" w:rsidRPr="00F314D8" w:rsidRDefault="0092482F" w:rsidP="0018225C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F314D8">
              <w:rPr>
                <w:b/>
                <w:bCs/>
                <w:sz w:val="16"/>
                <w:szCs w:val="16"/>
                <w:u w:val="single"/>
              </w:rPr>
              <w:t xml:space="preserve">Ostat. NI výdaje </w:t>
            </w:r>
            <w:proofErr w:type="spellStart"/>
            <w:r w:rsidRPr="00F314D8">
              <w:rPr>
                <w:b/>
                <w:bCs/>
                <w:sz w:val="16"/>
                <w:szCs w:val="16"/>
                <w:u w:val="single"/>
              </w:rPr>
              <w:t>j.n</w:t>
            </w:r>
            <w:proofErr w:type="spellEnd"/>
            <w:r w:rsidRPr="00F314D8">
              <w:rPr>
                <w:b/>
                <w:bCs/>
                <w:sz w:val="16"/>
                <w:szCs w:val="16"/>
                <w:u w:val="single"/>
              </w:rPr>
              <w:t>.</w:t>
            </w:r>
          </w:p>
          <w:p w:rsidR="0092482F" w:rsidRPr="00F314D8" w:rsidRDefault="0092482F" w:rsidP="00233398">
            <w:pPr>
              <w:jc w:val="both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Nevyčerpané finanční prostředky na depozitním účtu (mzdy, faktury); bude převedeno na příjmový účet</w:t>
            </w:r>
            <w:r w:rsidR="00F314D8" w:rsidRPr="00F314D8">
              <w:rPr>
                <w:sz w:val="16"/>
                <w:szCs w:val="16"/>
              </w:rPr>
              <w:t xml:space="preserve"> v roce 2015</w:t>
            </w:r>
          </w:p>
        </w:tc>
      </w:tr>
      <w:tr w:rsidR="00CE14A9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92482F" w:rsidRDefault="00CE14A9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92482F" w:rsidRDefault="00CE14A9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Default="00CE14A9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0700000707100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Default="00CE14A9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92482F" w:rsidRDefault="002F2E2A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1.111,29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92482F" w:rsidRDefault="00CE14A9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A9" w:rsidRPr="0092482F" w:rsidRDefault="00CE14A9" w:rsidP="00CE14A9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9248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Nespecifik</w:t>
            </w:r>
            <w:proofErr w:type="spellEnd"/>
            <w:r w:rsidRPr="009248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rezervy</w:t>
            </w:r>
          </w:p>
          <w:p w:rsidR="00CE14A9" w:rsidRPr="0092482F" w:rsidRDefault="00CE14A9" w:rsidP="00CE14A9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92482F">
              <w:rPr>
                <w:sz w:val="16"/>
                <w:szCs w:val="16"/>
              </w:rPr>
              <w:t>Rezerva RMP pro ROZOP; rezerva byla na základě usnesení orgánů města rozpouštěna do výdajů jednotlivých kapitol; nevyčerpaná částka upraveného rozpočtu představuje zůstatek rezervních prostředků.</w:t>
            </w:r>
            <w:r>
              <w:rPr>
                <w:sz w:val="16"/>
                <w:szCs w:val="16"/>
              </w:rPr>
              <w:t xml:space="preserve"> Nečerpané prostředky jsou součástí výsledku rozpočtového hospodaření</w:t>
            </w:r>
          </w:p>
        </w:tc>
      </w:tr>
      <w:tr w:rsidR="003E51E8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92482F" w:rsidRDefault="003E51E8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92482F" w:rsidRDefault="003E51E8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Default="003E51E8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0700000707600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Default="003E51E8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Default="002F2E2A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Default="003E51E8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92482F" w:rsidRDefault="003E51E8" w:rsidP="003E51E8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9248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Nespecifik</w:t>
            </w:r>
            <w:proofErr w:type="spellEnd"/>
            <w:r w:rsidRPr="009248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rezervy</w:t>
            </w:r>
          </w:p>
          <w:p w:rsidR="003E51E8" w:rsidRPr="003E51E8" w:rsidRDefault="003E51E8" w:rsidP="003E51E8">
            <w:pPr>
              <w:pStyle w:val="Nadpis2"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3E51E8">
              <w:rPr>
                <w:rFonts w:ascii="Times New Roman" w:hAnsi="Times New Roman" w:cs="Times New Roman"/>
                <w:b w:val="0"/>
                <w:sz w:val="16"/>
                <w:szCs w:val="16"/>
              </w:rPr>
              <w:t>Rezerva na škodní a havarijní situace; rezerva byla na základě usnesení orgánů města rozpouštěna do výdajů jednotlivých kapitol; nevyčerpaná částka upraveného rozpočtu představuje zůstatek rezervních prostředků. Nečerpané prostředky jsou součástí výsledku rozpočtového hospodaření</w:t>
            </w:r>
          </w:p>
        </w:tc>
      </w:tr>
      <w:tr w:rsidR="003E51E8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92482F" w:rsidRDefault="003E51E8" w:rsidP="003E51E8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92482F" w:rsidRDefault="003E51E8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Default="003E51E8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0700000708200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Default="003E51E8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Default="003E51E8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Default="002F2E2A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1.504,63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Default="003E51E8" w:rsidP="003E51E8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Centrální pojištění majetku města, odpovědnosti a vozidel</w:t>
            </w:r>
          </w:p>
          <w:p w:rsidR="003E51E8" w:rsidRPr="003E51E8" w:rsidRDefault="003E51E8" w:rsidP="00F314D8">
            <w:pPr>
              <w:jc w:val="both"/>
            </w:pPr>
            <w:r>
              <w:rPr>
                <w:sz w:val="16"/>
                <w:szCs w:val="16"/>
              </w:rPr>
              <w:t xml:space="preserve">Čerpání na základě čtvrtletní fakturace. </w:t>
            </w:r>
            <w:r w:rsidRPr="003E51E8">
              <w:rPr>
                <w:sz w:val="16"/>
                <w:szCs w:val="16"/>
              </w:rPr>
              <w:t>Nečerpané prostředky jsou součástí výsledku rozpočtového hospodaření</w:t>
            </w:r>
          </w:p>
        </w:tc>
      </w:tr>
      <w:tr w:rsidR="00F314D8" w:rsidRPr="00F314D8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F314D8" w:rsidRDefault="003E51E8" w:rsidP="003E51E8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F314D8" w:rsidRDefault="003E51E8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F314D8" w:rsidRDefault="003E51E8" w:rsidP="00CF5E76">
            <w:pPr>
              <w:jc w:val="center"/>
              <w:rPr>
                <w:sz w:val="14"/>
                <w:szCs w:val="14"/>
              </w:rPr>
            </w:pPr>
            <w:r w:rsidRPr="00F314D8">
              <w:rPr>
                <w:sz w:val="14"/>
                <w:szCs w:val="14"/>
              </w:rPr>
              <w:t>0700000708300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F314D8" w:rsidRDefault="003E51E8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F314D8" w:rsidRDefault="00F206B8" w:rsidP="0018225C">
            <w:pPr>
              <w:jc w:val="right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3.615,00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F314D8" w:rsidRDefault="00F206B8" w:rsidP="0018225C">
            <w:pPr>
              <w:jc w:val="right"/>
              <w:rPr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3.916,76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E8" w:rsidRPr="00F314D8" w:rsidRDefault="003E51E8" w:rsidP="003E51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314D8">
              <w:rPr>
                <w:b/>
                <w:sz w:val="16"/>
                <w:szCs w:val="16"/>
                <w:u w:val="single"/>
              </w:rPr>
              <w:t>Platby daní a poplatků SR ČR – DPH</w:t>
            </w:r>
          </w:p>
          <w:p w:rsidR="003E51E8" w:rsidRPr="00F314D8" w:rsidRDefault="003E51E8" w:rsidP="00F314D8">
            <w:pPr>
              <w:pStyle w:val="Nadpis2"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F314D8">
              <w:rPr>
                <w:rFonts w:ascii="Times New Roman" w:hAnsi="Times New Roman" w:cs="Times New Roman"/>
                <w:b w:val="0"/>
                <w:sz w:val="16"/>
                <w:szCs w:val="16"/>
              </w:rPr>
              <w:t>Odvod DPH za rok 201</w:t>
            </w:r>
            <w:r w:rsidR="00F314D8" w:rsidRPr="00F314D8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 w:rsidRPr="00F314D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na FÚ. </w:t>
            </w:r>
            <w:r w:rsidR="00F314D8" w:rsidRPr="00F314D8">
              <w:rPr>
                <w:rFonts w:ascii="Times New Roman" w:hAnsi="Times New Roman" w:cs="Times New Roman"/>
                <w:b w:val="0"/>
                <w:sz w:val="16"/>
                <w:szCs w:val="16"/>
              </w:rPr>
              <w:t>Přečerpáno vlivem přenesené daňové povinnosti v měsíci 12/2014 (již nešlo rozpočtově upravit)</w:t>
            </w:r>
          </w:p>
        </w:tc>
      </w:tr>
      <w:tr w:rsidR="0092482F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Default="003E51E8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0700396000000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Default="0092482F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F206B8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8.087,28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92482F" w:rsidP="0018225C">
            <w:pPr>
              <w:jc w:val="right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82F" w:rsidRPr="0092482F" w:rsidRDefault="003E51E8" w:rsidP="0018225C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Limit ostatních investic celkem</w:t>
            </w:r>
          </w:p>
          <w:p w:rsidR="0092482F" w:rsidRPr="0092482F" w:rsidRDefault="0092482F" w:rsidP="0018225C">
            <w:pPr>
              <w:jc w:val="both"/>
              <w:rPr>
                <w:bCs/>
                <w:sz w:val="16"/>
                <w:szCs w:val="16"/>
              </w:rPr>
            </w:pPr>
            <w:r w:rsidRPr="0092482F">
              <w:rPr>
                <w:bCs/>
                <w:sz w:val="16"/>
                <w:szCs w:val="16"/>
              </w:rPr>
              <w:t>Zůstatek nečerpaného limitu pro tzv. „ostatní investice“.</w:t>
            </w:r>
            <w:r w:rsidR="003E51E8">
              <w:rPr>
                <w:bCs/>
                <w:sz w:val="16"/>
                <w:szCs w:val="16"/>
              </w:rPr>
              <w:t xml:space="preserve"> </w:t>
            </w:r>
            <w:r w:rsidR="003E51E8" w:rsidRPr="003E51E8">
              <w:rPr>
                <w:sz w:val="16"/>
                <w:szCs w:val="16"/>
              </w:rPr>
              <w:t>Nečerpané prostředky jsou součástí výsledku rozpočtového hospodaření</w:t>
            </w:r>
          </w:p>
        </w:tc>
      </w:tr>
    </w:tbl>
    <w:p w:rsidR="00534A84" w:rsidRDefault="00534A84">
      <w:pPr>
        <w:rPr>
          <w:b/>
          <w:bCs/>
        </w:rPr>
      </w:pPr>
    </w:p>
    <w:p w:rsidR="00D34271" w:rsidRDefault="00D34271">
      <w:pPr>
        <w:rPr>
          <w:b/>
          <w:bCs/>
        </w:rPr>
      </w:pPr>
    </w:p>
    <w:p w:rsidR="00B75A58" w:rsidRDefault="00B75A58">
      <w:pPr>
        <w:rPr>
          <w:b/>
          <w:bCs/>
        </w:rPr>
      </w:pPr>
    </w:p>
    <w:p w:rsidR="007F695E" w:rsidRDefault="007F695E">
      <w:pPr>
        <w:rPr>
          <w:b/>
          <w:bCs/>
        </w:rPr>
      </w:pPr>
    </w:p>
    <w:p w:rsidR="00A02919" w:rsidRPr="007F695E" w:rsidRDefault="00A02919">
      <w:pPr>
        <w:rPr>
          <w:bCs/>
          <w:sz w:val="14"/>
          <w:szCs w:val="14"/>
        </w:rPr>
      </w:pPr>
    </w:p>
    <w:p w:rsidR="00895925" w:rsidRDefault="002A1797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F436D">
        <w:rPr>
          <w:rFonts w:ascii="Courier New" w:hAnsi="Courier New" w:cs="Courier New"/>
          <w:b/>
          <w:sz w:val="12"/>
          <w:szCs w:val="12"/>
        </w:rPr>
        <w:t xml:space="preserve">  </w:t>
      </w: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A4798" w:rsidRDefault="004A4798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061E" w:rsidRDefault="004E061E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07:14:33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12/2014                               0000ALV00JYV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1111 000000000 Nespecifikováno                                         100 500,00      100 500,00     103 891 699,18 103,37 103,37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 xml:space="preserve">0000000070 0700000000000 000000 1111           Daň z příjmů fyzických osob ze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záv.čin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fun.pož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>.      100 500,00      100 500,00     103 891 699,18 103,37 103,37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1113 000000000 Nespecifikováno                                           9 950,00        9 950,00      11 229 739,74 112,86 112,86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 xml:space="preserve">0000000070 0700000000000 000000 1113           Daň z příjmů fyzických osob z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kapit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>. výnosů               9 950,00        9 950,00      11 229 739,74 112,86 112,86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1121 000000000 Nespecifikováno                                          91 100,00       91 100,00     107 417 133,18 117,91 117,91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1121           Daň z příjmů právnických osob                            91 100,00       91 100,00     107 417 133,18 117,91 117,91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1122 000000000 Nespecifikováno                                          23 000,00       23 000,00      20 155 980,00  87,63  87,63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1122           Daň z příjmů právnických osob za obce                    23 000,00       23 000,00      20 155 980,00  87,63  87,63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1211 000000000 Nespecifikováno                                         202 890,00      202 890,00     218 549 126,53 107,72 107,72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1211           Daň z přidané hodnoty                                   202 890,00      202 890,00     218 549 126,53 107,72 107,72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1340 000000000 Nespecifikováno                                          23 000,00       23 750,00      24 707 551,94 107,42 104,03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 xml:space="preserve">0000000070 0700000000000 000000 1340           Poplatek za provoz,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shrom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 xml:space="preserve">.,.. a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odstr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>. kom. odpadu       23 000,00       23 750,00      24 707 551,94 107,42 104,03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1341 000000000 Nespecifikováno                                           1 300,00        1 300,00       1 306 618,00 100,51 100,51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1341           Poplatek ze psů                                           1 300,00        1 300,00       1 306 618,00 100,51 100,51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1343 000000000 Nespecifikováno                                           1 300,00        1 300,00       1 015 586,00  78,12  78,12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1343           Poplatek za užívání veřejného prostranství                1 300,00        1 300,00       1 015 586,00  78,12  78,12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1351 000000000 Nespecifikováno                                           1 950,00        1 950,00       1 662 240,63  85,24  85,24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 xml:space="preserve">0000000070 0700000000000 000000 1351           Odvod loterií a podobných her kromě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výh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hrac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>. př.        1 950,00        1 950,00       1 662 240,63  85,24  85,24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1355 000000000 Nespecifikováno                                          39 000,00       39 000,00      43 819 259,69 112,36 112,36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1355           Odvod z výherních hracích přístrojů                      39 000,00       39 000,00      43 819 259,69 112,36 112,36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1361 000000000 Nespecifikováno                                           5 400,00        6 700,00       8 455 296,12 156,58 126,20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1361           Správní poplatky                                          5 400,00        6 700,00       8 455 296,12 156,58 126,20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1511 000000000 Nespecifikováno                                          26 000,00       26 000,00      27 991 256,17 107,66 107,66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1511           Daň z nemovitých věcí                                    26 000,00       26 000,00      27 991 256,17 107,66 107,66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4112 000000000 Nespecifikováno                                          50 125,60       50 093,90      50 093 900,00  99,94 100,00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 xml:space="preserve">0000000070 0700000000000 000000 4112          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Neinv.př.transfery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 xml:space="preserve"> ze SR v rámci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souhr.dot.vztahu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 xml:space="preserve">        50 125,60       50 093,90      50 093 900,00  99,94 100,00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4134 000000000 Nespecifikováno                                               0,00            0,00     808 350 284,94 ****** 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4134           Převody z rozpočtových účtů                                   0,00            0,00     808 350 284,94 ****** 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000000                Bez ODPA                                                575 515,60      577 533,90   1 428 645 672,12 248,24 247,37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003111 2122 000000001 Fond rezerv a rozvoje                                         0,00          150,88         150 875,00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003111 2122           Odvody příspěvkových organizací                               0,00          150,88         150 875,00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003111                Předškolní zařízení                                           0,00          150,88         150 875,00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003113 2122 000000001 Fond rezerv a rozvoje                                         0,00          406,34         406 341,00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003113 2122           Odvody příspěvkových organizací                               0,00          406,34         406 341,00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003113                Základní školy                                                0,00          406,34         406 341,00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003121 2122 000000001 Fond rezerv a rozvoje                                         0,00          120,59         120 587,00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003121 2122           Odvody příspěvkových organizací                               0,00          120,59         120 587,00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003121                Gymnázia                                                      0,00          120,59         120 587,00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003231 2122 000000001 Fond rezerv a rozvoje                                         0,00          148,24         148 243,00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003231 2122           Odvody příspěvkových organizací                               0,00          148,24         148 243,00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003231                Základní umělecké školy                                       0,00          148,24         148 243,00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003314 2122 000000001 Fond rezerv a rozvoje                                         0,00           93,77          93 773,00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003314 2122           Odvody příspěvkových organizací                               0,00           93,77          93 773,00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003314                Činnosti knihovnické                                          0,00           93,77          93 773,00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003421 2122 000000001 Fond rezerv a rozvoje                                         0,00          185,67         185 665,00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003421 2122           Odvody příspěvkových organizací                               0,00          185,67         185 665,00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003421                Využití volného času dětí a mládeže                           0,00          185,67         185 665,00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2111 000000000 Nespecifikováno                                             100,00          100,00         223 410,00 223,41 223,41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2111           Příjmy z poskytování služeb a výrobků                       100,00          100,00         223 410,00 223,41 223,41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2211 000000000 Nespecifikováno                                               0,00           96,90         106 898,00 ****** 110,32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2211           Sankční platby přijaté od státu, obcí a krajů                 0,00           96,90         106 898,00 ****** 110,32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2212 000000000 Nespecifikováno                                             800,00        1 000,00       1 232 930,00 154,12 123,29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2212           Sankční platby přijaté od jiných subjektů                   800,00        1 000,00       1 232 930,00 154,12 123,29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br w:type="page"/>
      </w:r>
      <w:r w:rsidRPr="002D04A7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2D04A7">
        <w:rPr>
          <w:rFonts w:ascii="Courier New" w:hAnsi="Courier New"/>
          <w:b/>
          <w:sz w:val="13"/>
          <w:szCs w:val="13"/>
        </w:rPr>
        <w:t>mupv</w:t>
      </w:r>
      <w:proofErr w:type="spellEnd"/>
      <w:r w:rsidRPr="002D04A7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2D04A7">
        <w:rPr>
          <w:rFonts w:ascii="Courier New" w:hAnsi="Courier New"/>
          <w:b/>
          <w:sz w:val="13"/>
          <w:szCs w:val="13"/>
        </w:rPr>
        <w:t>S</w:t>
      </w:r>
      <w:proofErr w:type="spellEnd"/>
      <w:r w:rsidRPr="002D04A7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Strana:     2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2D04A7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2D04A7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07:14:34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2D04A7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2D04A7">
        <w:rPr>
          <w:rFonts w:ascii="Courier New" w:hAnsi="Courier New"/>
          <w:b/>
          <w:sz w:val="13"/>
          <w:szCs w:val="13"/>
        </w:rPr>
        <w:t xml:space="preserve">                                           R O Z B O R   P L N Ě N Í   P Ř Í J M Ů   R O Z P O Č T U  za období 12/2014                               0000ALV00JYV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2D04A7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2D04A7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2D04A7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2322 000000000 Nespecifikováno                                               0,00          266,11         476 796,00 ****** 179,17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2322           Přijaté pojistné náhrady                                      0,00          266,11         476 796,00 ****** 179,17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2324 000000000 Nespecifikováno                                               0,00          133,99         366 109,74 ****** 273,24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2324           Přijaté nekapitálové příspěvky a náhrady                      0,00          133,99         366 109,74 ****** 273,24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2329 000000000 Nespecifikováno                                               0,00            0,00       4 246 876,48 ****** 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2329           Ostatní nedaňové příjmy jinde nezařazené                      0,00            0,00       4 246 876,48 ****** 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006171                Činnost místní správy                                       900,00        1 597,00       6 653 020,22 739,22 416,60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006310 2141 000000000 Nespecifikováno                                           1 200,00        1 200,00       1 408 280,73 117,36 117,36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006310 2141           Příjmy z úroků (část)                                     1 200,00        1 200,00       1 408 280,73 117,36 117,36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006310 2142 000000000 Nespecifikováno                                           1 800,00        2 100,00       2 145 140,51 119,17 102,15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006310 2142           Příjmy z podílů na zisku a dividend                       1 800,00        2 100,00       2 145 140,51 119,17 102,15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006310 2324 000000000 Nespecifikováno                                               0,00            0,00             485,46 ****** 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006310 2324           Přijaté nekapitálové příspěvky a náhrady                      0,00            0,00             485,46 ****** 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006310                Obecné příjmy a výdaje z finančních operací               3 000,00        3 300,00       3 553 906,70 118,46 107,69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006399 2329 000000000 Nespecifikováno                                               0,00            0,00         149 040,44 ****** 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006399 2329           Ostatní nedaňové příjmy jinde nezařazené                      0,00            0,00         149 040,44 ****** 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006399                Ostatní finanční operace                                      0,00            0,00         149 040,44 ****** ******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006402 2222 000000000 Nespecifikováno                                               0,00          634,18         406 136,07 ******  64,04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 xml:space="preserve">0000000070 0700000000000 006402 2222          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 xml:space="preserve">. příjmy z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2D04A7">
        <w:rPr>
          <w:rFonts w:ascii="Courier New" w:hAnsi="Courier New" w:cs="Courier New"/>
          <w:b/>
          <w:sz w:val="13"/>
          <w:szCs w:val="13"/>
        </w:rPr>
        <w:t>vypoř.předch</w:t>
      </w:r>
      <w:proofErr w:type="spellEnd"/>
      <w:r w:rsidRPr="002D04A7">
        <w:rPr>
          <w:rFonts w:ascii="Courier New" w:hAnsi="Courier New" w:cs="Courier New"/>
          <w:b/>
          <w:sz w:val="13"/>
          <w:szCs w:val="13"/>
        </w:rPr>
        <w:t>. let od jin.veř.ro            0,00          634,18         406 136,07 ******  64,04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006402                Finanční vypořádání minulých let                              0,00          634,18         406 136,07 ******  64,04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0700000000000                       Finanční                                                579 415,60      584 170,56   1 440 513 259,55 248,61 246,59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0700000701600 000000 1349 000000000 Nespecifikováno                                               0,00        3 147,20       3 147 199,00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0700000701600 000000 1349           Zrušené místní poplatky                                       0,00        3 147,20       3 147 199,00 ****** 100,00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0700000701600 000000 1361 000000000 Nespecifikováno                                               0,00           44,00         119 000,00 ****** 270,45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0700000701600 000000 1361           Správní poplatky                                              0,00           44,00         119 000,00 ****** 270,45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0700000701600 000000                Bez ODPA                                                      0,00        3 191,20       3 266 199,00 ****** 102,35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0700000701600                       Hrací přístroje                                               0,00        3 191,20       3 266 199,00 ****** 102,35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0700000706400 000000 1361 000000000 Nespecifikováno                                              30,00           30,00           7 500,00  25,00  25,00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0700000706400 000000 1361           Správní poplatky                                             30,00           30,00           7 500,00  25,00  25,00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0700000706400 000000                Bez ODPA                                                     30,00           30,00           7 500,00  25,00  25,00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0700000706400                       Správní poplatky - tombola                                   30,00           30,00           7 500,00  25,00  25,00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0700000707700 000000 1112 000000000 Nespecifikováno                                           1 000,00        1 000,00         955 793,53  95,58  95,58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0700000707700 000000 1112           Daň z příjmů fyzických osob ze SVČ                        1 000,00        1 000,00         955 793,53  95,58  95,58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0700000707700 000000                Bez ODPA                                                  1 000,00        1 000,00         955 793,53  95,58  95,58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0700000707700                       DPFO ze SVČ - 60% HV                                      1 000,00        1 000,00         955 793,53  95,58  95,58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0700000707800 000000 1112 000000000 Nespecifikováno                                           3 800,00        3 800,00       5 697 903,64 149,94 149,94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0700000707800 000000 1112           Daň z příjmů fyzických osob ze SVČ                        3 800,00        3 800,00       5 697 903,64 149,94 149,94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0700000707800 000000                Bez ODPA                                                  3 800,00        3 800,00       5 697 903,64 149,94 149,94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0700000707800                       DPFO ze SVČ - 30% dle bydliště                            3 800,00        3 800,00       5 697 903,64 149,94 149,94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0000000070                                     Finanční                                                584 245,60      592 191,76   1 450 440 655,72 248,26 244,93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584 245,60      592 191,76   1 450 440 655,72 248,26 244,93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584 245,60      592 191,76   1 450 440 655,72 248,26 244,93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D04A7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543A3E" w:rsidRPr="002D04A7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C6F13" w:rsidRPr="004A4798" w:rsidRDefault="00AC6F13" w:rsidP="002A1797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A4798" w:rsidRDefault="004A4798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07:26:27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001014 5492 000000000 Nespecifikováno                                              50,00           50,00          37 500,00  75,00  75,00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001014 5492           Dary obyvatelstvu                                            50,00           50,00          37 500,00  75,00  75,00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0000000070 0700000000000 001014               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Ozdrav.hosp.zvířat,pol.a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spec.plod.a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svl.vet.péče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            50,00           50,00          37 500,00  75,00  75,00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003429 5166 000000000 Nespecifikováno                                               0,00           60,50          60 500,00 ******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003429 5166           Konzultační, poradenské a právní služby                       0,00           60,50          60 500,00 ******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003429                Ostatní zájmová činnost a rekreace                            0,00           60,50          60 500,00 ******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5137 000000000 Nespecifikováno                                              60,00           60,00          17 279,00  28,80  28,80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5137           Drobný hmotný dlouhodobý majetek                             60,00           60,00          17 279,00  28,80  28,80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5139 000000000 Nespecifikováno                                              35,00           35,00           1 689,00   4,83   4,83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0700000000000 006171 5139           Nákup materiálu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           35,00           35,00           1 689,00   4,83   4,83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5141 000000000 Nespecifikováno                                              25,00           25,00           7 876,58  31,51  31,51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5141           Úroky vlastní                                                25,00           25,00           7 876,58  31,51  31,51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5142 000000000 Nespecifikováno                                               0,00            3,00           2 316,80 ******  77,23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5142           Kursové rozdíly ve výdajích                                   0,00            3,00           2 316,80 ******  77,23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5162 000000000 Nespecifikováno                                              30,00           30,00          17 200,00  57,33  57,33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5162           Služby telekomunikací a radiokomunikací                      30,00           30,00          17 200,00  57,33  57,33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5166 000000000 Nespecifikováno                                             885,00        1 140,62       1 120 030,77 126,56  98,19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5166           Konzultační, poradenské a právní služby                     885,00        1 140,62       1 120 030,77 126,56  98,19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5167 000000000 Nespecifikováno                                               0,00           14,60               0,00 ******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5167           Služby školení a vzdělávání                                   0,00           14,60               0,00 ******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5169 000000000 Nespecifikováno                                              77,00           77,00          74 820,00  97,17  97,17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5169           Nákup ostatních služeb                                       77,00           77,00          74 820,00  97,17  97,17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5195 000000000 Nespecifikováno                                              50,00            0,00               0,00   0,00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0700000000000 006171 5195           Odvody za neplnění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povinn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zaměst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. zdrav.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postiž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50,00            0,00               0,00   0,00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006171                Činnost místní správy                                     1 162,00        1 385,22       1 241 212,15 106,82  89,60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006310 5163 000000000 Nespecifikováno                                             450,00          360,00         332 731,50  73,94  92,43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006310 5163           Služby peněžních ústavů                                     450,00          360,00         332 731,50  73,94  92,43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006310                Obecné příjmy a výdaje z finančních operací                 450,00          360,00         332 731,50  73,94  92,43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006330 5342 000000000 Nespecifikováno                                               0,00            0,00       2 489 750,00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006330 5342           Převody FKSP a sociálnímu fondu obcí a krajů                  0,00            0,00       2 489 750,00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006330 5344 000000000 Nespecifikováno                                               0,00            0,00      31 536 267,24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0700000000000 006330 5344           Převody vlastním rezervním fondům územních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0,00            0,00      31 536 267,24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006330 5345 000000000 Nespecifikováno                                               0,00            0,00     776 919 640,70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006330 5345           Převody vlastním rozpočtovým účtům                            0,00            0,00     776 919 640,70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006330                Převody vlastním fondům v rozpočtech územní úrovně            0,00            0,00     810 945 657,94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006399 5362 000000000 Nespecifikováno                                          23 000,00       23 000,00      20 155 980,00  87,63  87,63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006399 5362           Platby daní a poplatků státnímu rozpočtu                 23 000,00       23 000,00      20 155 980,00  87,63  87,63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006399 5429 000000000 Nespecifikováno                                              40,00           40,00           4 000,00  10,00  10,00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006399 5429           Ostatní náhrady placené obyvatelstvu                         40,00           40,00           4 000,00  10,00  10,00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006399                Ostatní finanční operace                                 23 040,00       23 040,00      20 159 980,00  87,50  87,50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006402 5365 000000000 Nespecifikováno                                               0,00          206,00         206 000,00 ******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0700000000000 006402 5365           Platby daní a poplatků krajům, obcím a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st.fondům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              0,00          206,00         206 000,00 ******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006402 5367 000000001 Fond rezerv a rozvoje                                         0,00        2 901,50       2 901 500,00 ******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0700000000000 006402 5367           Výdaje z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fin.vypořádání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 minulých let mezi obcemi              0,00        2 901,50       2 901 500,00 ******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006402                Finanční vypořádání minulých let                              0,00        3 107,50       3 107 500,00 ******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006409 5363 000000000 Nespecifikováno                                             100,00          100,00           1 447,00   1,45   1,45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006409 5363           Úhrady sankcí jiným rozpočtům                               100,00          100,00           1 447,00   1,45   1,45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006409 5909 000000000 Nespecifikováno                                               0,00            0,00       1 986 663,00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0700000000000 006409 5909           Ostatní neinvestiční výdaje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0,00            0,00       1 986 663,00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0700000000000 006409                Ostatní činnosti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         100,00          100,00       1 988 110,00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0700000000000                       Finanční                                                 24 802,00       28 103,22     837 873 191,59 ******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0700000005011 006409 5909 000000000 Nespecifikováno                                               0,00           30,00               0,00 ******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br w:type="page"/>
      </w:r>
      <w:r w:rsidRPr="005138A1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5138A1">
        <w:rPr>
          <w:rFonts w:ascii="Courier New" w:hAnsi="Courier New"/>
          <w:b/>
          <w:sz w:val="13"/>
          <w:szCs w:val="13"/>
        </w:rPr>
        <w:t>mupv</w:t>
      </w:r>
      <w:proofErr w:type="spellEnd"/>
      <w:r w:rsidRPr="005138A1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5138A1">
        <w:rPr>
          <w:rFonts w:ascii="Courier New" w:hAnsi="Courier New"/>
          <w:b/>
          <w:sz w:val="13"/>
          <w:szCs w:val="13"/>
        </w:rPr>
        <w:t>S</w:t>
      </w:r>
      <w:proofErr w:type="spellEnd"/>
      <w:r w:rsidRPr="005138A1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Strana:     2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5138A1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5138A1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07:26:27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5138A1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5138A1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5138A1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5138A1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5138A1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0700000005011 006409 5909           Ostatní neinvestiční výdaje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0,00           30,00               0,00 ******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0700000005011 006409                Ostatní činnosti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           0,00           30,00               0,00 ******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0700000005011                       Zálohy na mzdy                                                0,00           30,00               0,00 ******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0700000707100 006409 5901 000000000 Nespecifikováno                                          30 000,00        1 111,29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0700000707100 006409 5901           Nespecifikované rezervy                                  30 000,00        1 111,29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0700000707100 006409                Ostatní činnosti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      30 000,00        1 111,29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0700000707100                       Rezerva RMP pro ROZOP                                    30 000,00        1 111,29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0700000707600 006409 5901 000000000 Nespecifikováno                                           2 700,00          543,00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0700000707600 006409 5901           Nespecifikované rezervy                                   2 700,00          543,00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0700000707600 006409                Ostatní činnosti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       2 700,00          543,00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0700000707600                       Rezerva na škodní a havarijní události                    2 700,00          543,00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0700000708000 006409 5909 000000000 Nespecifikováno                                          11 970,00            0,00               0,00   0,00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0700000708000 006409 5909           Ostatní neinvestiční výdaje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11 970,00            0,00               0,00   0,00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0700000708000 006409                Ostatní činnosti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      11 970,00            0,00               0,00   0,00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0700000708000                       VFP nerozdělená všeobecná                                11 970,00            0,00               0,00   0,00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0700000708100 006409 5166 000000000 Nespecifikováno                                             300,00          239,50         239 500,00  79,83 100,00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0700000708100 006409 5166           Konzultační, poradenské a právní služby                     300,00          239,50         239 500,00  79,83 100,00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0700000708100 006409                Ostatní činnosti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         300,00          239,50         239 500,00  79,83 100,00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0700000708100                       Studie, analýzy a pod.                                      300,00          239,50         239 500,00  79,83 100,00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0700000708200 006171 5163 000000000 Nespecifikováno                                           2 100,00        2 100,00       1 504 628,00  71,65  71,65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0700000708200 006171 5163           Služby peněžních ústavů                                   2 100,00        2 100,00       1 504 628,00  71,65  71,65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0700000708200 006171                Činnost místní správy                                     2 100,00        2 100,00       1 504 628,00  71,65  71,65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0700000708200                       Centrální pojištění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maj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 xml:space="preserve">. města,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odpověd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a vozidel        2 100,00        2 100,00       1 504 628,00  71,65  71,65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0700000708300 006399 5362 000000000 Nespecifikováno                                           1 915,00        3 615,00       3 916 761,58 204,53 108,35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0700000708300 006399 5362           Platby daní a poplatků státnímu rozpočtu                  1 915,00        3 615,00       3 916 761,58 204,53 108,35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0700000708300 006399                Ostatní finanční operace                                  1 915,00        3 615,00       3 916 761,58 204,53 108,35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0700000708300                       Platby daní a poplatků SR - DPH                           1 915,00        3 615,00       3 916 761,58 204,53 108,35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0700092000000 006409 6202 000000000 Nespecifikováno                                          26 300,00       19 705,00      19 705 000,00  74,92 100,00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0700092000000 006409 6202           Nákup majetkových podílů                                 26 300,00       19 705,00      19 705 000,00  74,92 100,00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0700092000000 006409                Ostatní činnosti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      26 300,00       19 705,00      19 705 000,00  74,92 100,00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0700092000000                       Peněžitý vklad do DSP, s.r.o.                            26 300,00       19 705,00      19 705 000,00  74,92 100,00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0700396000000 006409 6909 000000000 Nespecifikováno                                          15 000,00        8 087,28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0700396000000 006409 6909           Ostatní kapitálové výdaje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15 000,00        8 087,28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0000000070 0700396000000 006409                Ostatní činnosti </w:t>
      </w:r>
      <w:proofErr w:type="spellStart"/>
      <w:r w:rsidRPr="005138A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5138A1">
        <w:rPr>
          <w:rFonts w:ascii="Courier New" w:hAnsi="Courier New" w:cs="Courier New"/>
          <w:b/>
          <w:sz w:val="13"/>
          <w:szCs w:val="13"/>
        </w:rPr>
        <w:t>.                                    15 000,00        8 087,28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0700396000000                       Limit ostatních investic celkem                          15 000,00        8 087,28               0,00   0,00   0,00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0000000070                                     Finanční                                                115 087,00       63 534,30     863 239 081,17 750,08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115 087,00       63 534,30     863 239 081,17 750,08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115 087,00       63 534,30     863 239 081,17 750,08 ******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43A3E" w:rsidRPr="005138A1" w:rsidRDefault="00543A3E" w:rsidP="00543A3E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138A1">
        <w:rPr>
          <w:rFonts w:ascii="Courier New" w:hAnsi="Courier New" w:cs="Courier New"/>
          <w:b/>
          <w:sz w:val="13"/>
          <w:szCs w:val="13"/>
        </w:rPr>
        <w:t xml:space="preserve"> </w:t>
      </w: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sectPr w:rsidR="002536F2" w:rsidSect="004A4798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1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0A" w:rsidRDefault="00E13C0A">
      <w:r>
        <w:separator/>
      </w:r>
    </w:p>
  </w:endnote>
  <w:endnote w:type="continuationSeparator" w:id="0">
    <w:p w:rsidR="00E13C0A" w:rsidRDefault="00E1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09" w:rsidRDefault="00F73709" w:rsidP="00042F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3709" w:rsidRDefault="00F737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09" w:rsidRPr="001F1DD2" w:rsidRDefault="00F73709" w:rsidP="00BA4439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1F1DD2">
      <w:rPr>
        <w:rStyle w:val="slostrnky"/>
        <w:sz w:val="16"/>
        <w:szCs w:val="16"/>
      </w:rPr>
      <w:fldChar w:fldCharType="begin"/>
    </w:r>
    <w:r w:rsidRPr="001F1DD2">
      <w:rPr>
        <w:rStyle w:val="slostrnky"/>
        <w:sz w:val="16"/>
        <w:szCs w:val="16"/>
      </w:rPr>
      <w:instrText xml:space="preserve">PAGE  </w:instrText>
    </w:r>
    <w:r w:rsidRPr="001F1DD2">
      <w:rPr>
        <w:rStyle w:val="slostrnky"/>
        <w:sz w:val="16"/>
        <w:szCs w:val="16"/>
      </w:rPr>
      <w:fldChar w:fldCharType="separate"/>
    </w:r>
    <w:r w:rsidR="00177F0D">
      <w:rPr>
        <w:rStyle w:val="slostrnky"/>
        <w:noProof/>
        <w:sz w:val="16"/>
        <w:szCs w:val="16"/>
      </w:rPr>
      <w:t>217</w:t>
    </w:r>
    <w:r w:rsidRPr="001F1DD2">
      <w:rPr>
        <w:rStyle w:val="slostrnky"/>
        <w:sz w:val="16"/>
        <w:szCs w:val="16"/>
      </w:rPr>
      <w:fldChar w:fldCharType="end"/>
    </w:r>
  </w:p>
  <w:p w:rsidR="00F73709" w:rsidRDefault="00F7370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0A" w:rsidRDefault="00E13C0A">
      <w:r>
        <w:separator/>
      </w:r>
    </w:p>
  </w:footnote>
  <w:footnote w:type="continuationSeparator" w:id="0">
    <w:p w:rsidR="00E13C0A" w:rsidRDefault="00E1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54292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08A832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98434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7095E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B216C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C0454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6F81F67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8">
    <w:nsid w:val="3B0919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4738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4A392F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E363A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2">
    <w:nsid w:val="589757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421F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8F11A9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5">
    <w:nsid w:val="66E36E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AF2A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5"/>
  </w:num>
  <w:num w:numId="4">
    <w:abstractNumId w:val="15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3"/>
    <w:rsid w:val="000009F3"/>
    <w:rsid w:val="000013D4"/>
    <w:rsid w:val="00001522"/>
    <w:rsid w:val="000065CC"/>
    <w:rsid w:val="00030266"/>
    <w:rsid w:val="00037406"/>
    <w:rsid w:val="00042FD0"/>
    <w:rsid w:val="000660B0"/>
    <w:rsid w:val="000D26D2"/>
    <w:rsid w:val="000D30F0"/>
    <w:rsid w:val="000E0776"/>
    <w:rsid w:val="000F01D5"/>
    <w:rsid w:val="000F1030"/>
    <w:rsid w:val="000F61AC"/>
    <w:rsid w:val="00117EFF"/>
    <w:rsid w:val="00124CA3"/>
    <w:rsid w:val="00135968"/>
    <w:rsid w:val="00136761"/>
    <w:rsid w:val="0014468D"/>
    <w:rsid w:val="00147DB3"/>
    <w:rsid w:val="001569EF"/>
    <w:rsid w:val="001708DA"/>
    <w:rsid w:val="00170D03"/>
    <w:rsid w:val="001747BE"/>
    <w:rsid w:val="00177F0D"/>
    <w:rsid w:val="0018225C"/>
    <w:rsid w:val="0018396B"/>
    <w:rsid w:val="001873B5"/>
    <w:rsid w:val="001D028D"/>
    <w:rsid w:val="001F110C"/>
    <w:rsid w:val="001F1DD2"/>
    <w:rsid w:val="00200E76"/>
    <w:rsid w:val="002155E7"/>
    <w:rsid w:val="00216475"/>
    <w:rsid w:val="00225F5D"/>
    <w:rsid w:val="00233398"/>
    <w:rsid w:val="00237A99"/>
    <w:rsid w:val="002536F2"/>
    <w:rsid w:val="002A1797"/>
    <w:rsid w:val="002B46C4"/>
    <w:rsid w:val="002D0F8F"/>
    <w:rsid w:val="002D331B"/>
    <w:rsid w:val="002D3E82"/>
    <w:rsid w:val="002E0707"/>
    <w:rsid w:val="002E522E"/>
    <w:rsid w:val="002F2E2A"/>
    <w:rsid w:val="00313948"/>
    <w:rsid w:val="003254B9"/>
    <w:rsid w:val="0034049E"/>
    <w:rsid w:val="00343D54"/>
    <w:rsid w:val="00345032"/>
    <w:rsid w:val="00363F30"/>
    <w:rsid w:val="003720E6"/>
    <w:rsid w:val="00390873"/>
    <w:rsid w:val="003C2E28"/>
    <w:rsid w:val="003E1459"/>
    <w:rsid w:val="003E3580"/>
    <w:rsid w:val="003E51E8"/>
    <w:rsid w:val="00400B8F"/>
    <w:rsid w:val="004679AF"/>
    <w:rsid w:val="00484674"/>
    <w:rsid w:val="00490884"/>
    <w:rsid w:val="00497704"/>
    <w:rsid w:val="004A260D"/>
    <w:rsid w:val="004A4798"/>
    <w:rsid w:val="004D3868"/>
    <w:rsid w:val="004E061E"/>
    <w:rsid w:val="00500CA0"/>
    <w:rsid w:val="00534A84"/>
    <w:rsid w:val="00543A3E"/>
    <w:rsid w:val="005462F8"/>
    <w:rsid w:val="005533E2"/>
    <w:rsid w:val="00555F84"/>
    <w:rsid w:val="00567027"/>
    <w:rsid w:val="00570E8D"/>
    <w:rsid w:val="0057409A"/>
    <w:rsid w:val="005A0AD1"/>
    <w:rsid w:val="005C18C2"/>
    <w:rsid w:val="005D53E2"/>
    <w:rsid w:val="005E2FB0"/>
    <w:rsid w:val="005E3C91"/>
    <w:rsid w:val="00602E38"/>
    <w:rsid w:val="006160B1"/>
    <w:rsid w:val="00621DF8"/>
    <w:rsid w:val="006222C3"/>
    <w:rsid w:val="006334E2"/>
    <w:rsid w:val="00650E18"/>
    <w:rsid w:val="006813E4"/>
    <w:rsid w:val="00696201"/>
    <w:rsid w:val="006A454E"/>
    <w:rsid w:val="006C100C"/>
    <w:rsid w:val="006E454A"/>
    <w:rsid w:val="006F6471"/>
    <w:rsid w:val="006F77E1"/>
    <w:rsid w:val="00703A28"/>
    <w:rsid w:val="00715D90"/>
    <w:rsid w:val="00715DEB"/>
    <w:rsid w:val="007163CE"/>
    <w:rsid w:val="0075546B"/>
    <w:rsid w:val="00767006"/>
    <w:rsid w:val="00767113"/>
    <w:rsid w:val="00767B36"/>
    <w:rsid w:val="0077121D"/>
    <w:rsid w:val="00786CB4"/>
    <w:rsid w:val="0079306C"/>
    <w:rsid w:val="007C14DA"/>
    <w:rsid w:val="007C40B7"/>
    <w:rsid w:val="007E6AEA"/>
    <w:rsid w:val="007F695E"/>
    <w:rsid w:val="0082714C"/>
    <w:rsid w:val="008623DA"/>
    <w:rsid w:val="0086790E"/>
    <w:rsid w:val="00884DE4"/>
    <w:rsid w:val="00890156"/>
    <w:rsid w:val="00895925"/>
    <w:rsid w:val="008A14D4"/>
    <w:rsid w:val="008D5203"/>
    <w:rsid w:val="008E2B5A"/>
    <w:rsid w:val="008E728B"/>
    <w:rsid w:val="0092482F"/>
    <w:rsid w:val="00941DCC"/>
    <w:rsid w:val="00945482"/>
    <w:rsid w:val="0096422B"/>
    <w:rsid w:val="00973B51"/>
    <w:rsid w:val="009757E3"/>
    <w:rsid w:val="009918FA"/>
    <w:rsid w:val="00995D5B"/>
    <w:rsid w:val="009D4E1A"/>
    <w:rsid w:val="009D4F4F"/>
    <w:rsid w:val="009F7D10"/>
    <w:rsid w:val="00A02245"/>
    <w:rsid w:val="00A02919"/>
    <w:rsid w:val="00A066BF"/>
    <w:rsid w:val="00A17E23"/>
    <w:rsid w:val="00A23E2E"/>
    <w:rsid w:val="00A27176"/>
    <w:rsid w:val="00A37CB4"/>
    <w:rsid w:val="00AB081A"/>
    <w:rsid w:val="00AC6F13"/>
    <w:rsid w:val="00AE2CB2"/>
    <w:rsid w:val="00B42011"/>
    <w:rsid w:val="00B5351E"/>
    <w:rsid w:val="00B61909"/>
    <w:rsid w:val="00B65996"/>
    <w:rsid w:val="00B75A58"/>
    <w:rsid w:val="00BA4439"/>
    <w:rsid w:val="00BA629E"/>
    <w:rsid w:val="00BA6C5E"/>
    <w:rsid w:val="00BC1446"/>
    <w:rsid w:val="00BD46F5"/>
    <w:rsid w:val="00BF145B"/>
    <w:rsid w:val="00BF563F"/>
    <w:rsid w:val="00C2095A"/>
    <w:rsid w:val="00C42612"/>
    <w:rsid w:val="00C57B3B"/>
    <w:rsid w:val="00C97DC5"/>
    <w:rsid w:val="00CA03EA"/>
    <w:rsid w:val="00CE14A9"/>
    <w:rsid w:val="00CF0740"/>
    <w:rsid w:val="00CF2323"/>
    <w:rsid w:val="00CF5E76"/>
    <w:rsid w:val="00D134E6"/>
    <w:rsid w:val="00D166BA"/>
    <w:rsid w:val="00D22059"/>
    <w:rsid w:val="00D23964"/>
    <w:rsid w:val="00D34271"/>
    <w:rsid w:val="00D70940"/>
    <w:rsid w:val="00D73B50"/>
    <w:rsid w:val="00D74850"/>
    <w:rsid w:val="00D85D1F"/>
    <w:rsid w:val="00D977A7"/>
    <w:rsid w:val="00DA018E"/>
    <w:rsid w:val="00DA0C66"/>
    <w:rsid w:val="00DB0C1B"/>
    <w:rsid w:val="00DD3195"/>
    <w:rsid w:val="00E1288B"/>
    <w:rsid w:val="00E13B68"/>
    <w:rsid w:val="00E13C0A"/>
    <w:rsid w:val="00E368CD"/>
    <w:rsid w:val="00E43DD1"/>
    <w:rsid w:val="00E549DF"/>
    <w:rsid w:val="00E62B47"/>
    <w:rsid w:val="00EA3D2D"/>
    <w:rsid w:val="00EF2B4E"/>
    <w:rsid w:val="00F023BB"/>
    <w:rsid w:val="00F11223"/>
    <w:rsid w:val="00F206B8"/>
    <w:rsid w:val="00F21796"/>
    <w:rsid w:val="00F30AC3"/>
    <w:rsid w:val="00F314D8"/>
    <w:rsid w:val="00F41860"/>
    <w:rsid w:val="00F44358"/>
    <w:rsid w:val="00F730BE"/>
    <w:rsid w:val="00F73709"/>
    <w:rsid w:val="00F738B6"/>
    <w:rsid w:val="00F846F6"/>
    <w:rsid w:val="00F9360B"/>
    <w:rsid w:val="00FD2E7F"/>
    <w:rsid w:val="00FD4EE9"/>
    <w:rsid w:val="00FE45E3"/>
    <w:rsid w:val="00FF375C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14"/>
      <w:szCs w:val="1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i/>
      <w:iCs/>
      <w:sz w:val="14"/>
      <w:szCs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sz w:val="14"/>
      <w:szCs w:val="14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i/>
      <w:iCs/>
      <w:sz w:val="14"/>
      <w:szCs w:val="14"/>
      <w:u w:val="single"/>
    </w:rPr>
  </w:style>
  <w:style w:type="paragraph" w:styleId="Zhlav">
    <w:name w:val="header"/>
    <w:basedOn w:val="Normln"/>
    <w:rsid w:val="001F1DD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14"/>
      <w:szCs w:val="1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i/>
      <w:iCs/>
      <w:sz w:val="14"/>
      <w:szCs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sz w:val="14"/>
      <w:szCs w:val="14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i/>
      <w:iCs/>
      <w:sz w:val="14"/>
      <w:szCs w:val="14"/>
      <w:u w:val="single"/>
    </w:rPr>
  </w:style>
  <w:style w:type="paragraph" w:styleId="Zhlav">
    <w:name w:val="header"/>
    <w:basedOn w:val="Normln"/>
    <w:rsid w:val="001F1D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4686-A89E-48E2-8448-7612B458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6453</Words>
  <Characters>38079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44444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4</cp:revision>
  <cp:lastPrinted>2009-03-09T06:15:00Z</cp:lastPrinted>
  <dcterms:created xsi:type="dcterms:W3CDTF">2015-03-24T06:50:00Z</dcterms:created>
  <dcterms:modified xsi:type="dcterms:W3CDTF">2015-05-04T06:30:00Z</dcterms:modified>
</cp:coreProperties>
</file>