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1D" w:rsidRPr="00373864" w:rsidRDefault="006221D6" w:rsidP="009D103F">
      <w:pPr>
        <w:pStyle w:val="Nzev"/>
        <w:rPr>
          <w:rFonts w:ascii="Times New Roman" w:hAnsi="Times New Roman" w:cs="Times New Roman"/>
        </w:rPr>
      </w:pPr>
      <w:r w:rsidRPr="00373864">
        <w:rPr>
          <w:rFonts w:ascii="Times New Roman" w:hAnsi="Times New Roman" w:cs="Times New Roman"/>
        </w:rPr>
        <w:t>Statutární m</w:t>
      </w:r>
      <w:r w:rsidR="00C52F1D" w:rsidRPr="00373864">
        <w:rPr>
          <w:rFonts w:ascii="Times New Roman" w:hAnsi="Times New Roman" w:cs="Times New Roman"/>
        </w:rPr>
        <w:t>ěsto Prostějov</w:t>
      </w:r>
    </w:p>
    <w:p w:rsidR="00C52F1D" w:rsidRPr="00373864" w:rsidRDefault="00C52F1D" w:rsidP="009D103F">
      <w:pPr>
        <w:pStyle w:val="Podtitul"/>
        <w:rPr>
          <w:rFonts w:ascii="Times New Roman" w:hAnsi="Times New Roman" w:cs="Times New Roman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373864">
        <w:rPr>
          <w:rFonts w:ascii="Times New Roman" w:hAnsi="Times New Roman" w:cs="Times New Roman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Finanční odbor </w:t>
      </w:r>
      <w:r w:rsidR="00362581" w:rsidRPr="00373864">
        <w:rPr>
          <w:rFonts w:ascii="Times New Roman" w:hAnsi="Times New Roman" w:cs="Times New Roman"/>
          <w:lang w:val="cs-CZ"/>
          <w14:shadow w14:blurRad="0" w14:dist="0" w14:dir="0" w14:sx="0" w14:sy="0" w14:kx="0" w14:ky="0" w14:algn="none">
            <w14:srgbClr w14:val="000000"/>
          </w14:shadow>
        </w:rPr>
        <w:t>Magistrátu města Prostějova</w:t>
      </w:r>
    </w:p>
    <w:p w:rsidR="00C52F1D" w:rsidRPr="00373864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9D63FE" w:rsidRPr="0096754C" w:rsidRDefault="009D63FE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9D63FE" w:rsidRPr="0096754C" w:rsidRDefault="009D63FE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32"/>
          <w:szCs w:val="32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32"/>
          <w:szCs w:val="32"/>
          <w:lang w:val="cs-CZ"/>
        </w:rPr>
      </w:pPr>
    </w:p>
    <w:p w:rsidR="009D63FE" w:rsidRPr="009D63FE" w:rsidRDefault="009D63FE" w:rsidP="009D63FE">
      <w:pPr>
        <w:tabs>
          <w:tab w:val="left" w:pos="5192"/>
        </w:tabs>
        <w:jc w:val="center"/>
        <w:rPr>
          <w:b/>
          <w:sz w:val="28"/>
          <w:szCs w:val="28"/>
        </w:rPr>
      </w:pPr>
      <w:r w:rsidRPr="009D63FE">
        <w:rPr>
          <w:b/>
          <w:sz w:val="28"/>
          <w:szCs w:val="28"/>
        </w:rPr>
        <w:t xml:space="preserve">Plnění rozpočtu statutárního města Prostějova a průběžné hospodaření jím zřízených a založených právnických osob k </w:t>
      </w:r>
      <w:proofErr w:type="gramStart"/>
      <w:r w:rsidRPr="009D63FE">
        <w:rPr>
          <w:b/>
          <w:sz w:val="28"/>
          <w:szCs w:val="28"/>
        </w:rPr>
        <w:t>30.6.201</w:t>
      </w:r>
      <w:r w:rsidR="005F6670">
        <w:rPr>
          <w:b/>
          <w:sz w:val="28"/>
          <w:szCs w:val="28"/>
        </w:rPr>
        <w:t>6</w:t>
      </w:r>
      <w:proofErr w:type="gramEnd"/>
    </w:p>
    <w:p w:rsidR="009D63FE" w:rsidRPr="0096754C" w:rsidRDefault="009D63FE" w:rsidP="009D63FE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96754C" w:rsidRDefault="00C52F1D" w:rsidP="009D103F">
      <w:pPr>
        <w:pStyle w:val="Zkladntext"/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Zpracoval: Milan N e c k a ř</w:t>
      </w: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  <w:r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 xml:space="preserve">V Prostějově dne </w:t>
      </w:r>
      <w:r w:rsidR="009D63FE"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1</w:t>
      </w:r>
      <w:r w:rsidR="005F6670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7</w:t>
      </w:r>
      <w:r w:rsidR="00A75A97" w:rsidRPr="00373864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.8.201</w:t>
      </w:r>
      <w:r w:rsidR="005F6670"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  <w:t>6</w:t>
      </w:r>
    </w:p>
    <w:p w:rsidR="00C52F1D" w:rsidRPr="00373864" w:rsidRDefault="00C52F1D" w:rsidP="009D103F">
      <w:pPr>
        <w:pStyle w:val="Zkladntext"/>
        <w:rPr>
          <w:rFonts w:ascii="Times New Roman" w:hAnsi="Times New Roman" w:cs="Times New Roman"/>
          <w:sz w:val="24"/>
          <w:szCs w:val="24"/>
          <w:lang w:val="cs-CZ"/>
          <w14:shadow w14:blurRad="0" w14:dist="0" w14:dir="0" w14:sx="0" w14:sy="0" w14:kx="0" w14:ky="0" w14:algn="none">
            <w14:srgbClr w14:val="000000"/>
          </w14:shadow>
        </w:rPr>
      </w:pPr>
    </w:p>
    <w:p w:rsidR="00C52F1D" w:rsidRDefault="00C52F1D" w:rsidP="009D103F">
      <w:pPr>
        <w:rPr>
          <w:b/>
          <w:bCs/>
        </w:rPr>
      </w:pPr>
      <w:r w:rsidRPr="00C52F1D">
        <w:rPr>
          <w:b/>
          <w:bCs/>
        </w:rPr>
        <w:tab/>
      </w: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Default="00C52F1D" w:rsidP="009D103F">
      <w:pPr>
        <w:rPr>
          <w:b/>
          <w:bCs/>
        </w:rPr>
      </w:pPr>
    </w:p>
    <w:p w:rsidR="00C52F1D" w:rsidRPr="00C52F1D" w:rsidRDefault="00C52F1D" w:rsidP="009D103F">
      <w:pPr>
        <w:rPr>
          <w:b/>
          <w:bCs/>
        </w:rPr>
      </w:pPr>
      <w:r w:rsidRPr="00C52F1D">
        <w:rPr>
          <w:b/>
          <w:bCs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pStyle w:val="Nadpis1"/>
              <w:shd w:val="clear" w:color="auto" w:fill="auto"/>
              <w:rPr>
                <w:rFonts w:ascii="Times New Roman" w:hAnsi="Times New Roman" w:cs="Times New Roman"/>
              </w:rPr>
            </w:pPr>
            <w:r w:rsidRPr="009F31EE">
              <w:rPr>
                <w:rFonts w:ascii="Times New Roman" w:hAnsi="Times New Roman" w:cs="Times New Roman"/>
              </w:rPr>
              <w:t>Obsah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jc w:val="right"/>
              <w:rPr>
                <w:b/>
                <w:bCs/>
              </w:rPr>
            </w:pPr>
            <w:r w:rsidRPr="009F31EE">
              <w:rPr>
                <w:b/>
                <w:bCs/>
              </w:rPr>
              <w:t>strana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jc w:val="right"/>
              <w:rPr>
                <w:b/>
                <w:bCs/>
              </w:rPr>
            </w:pP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rPr>
                <w:b/>
                <w:bCs/>
              </w:rPr>
            </w:pPr>
            <w:r w:rsidRPr="009F31EE">
              <w:rPr>
                <w:b/>
                <w:bCs/>
              </w:rPr>
              <w:t>Důvodová zpráva</w:t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  <w:r w:rsidRPr="009F31EE">
              <w:rPr>
                <w:b/>
                <w:bCs/>
              </w:rPr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jc w:val="right"/>
              <w:rPr>
                <w:b/>
                <w:bCs/>
              </w:rPr>
            </w:pP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9D103F">
            <w:pPr>
              <w:rPr>
                <w:b/>
                <w:bCs/>
              </w:rPr>
            </w:pPr>
            <w:r w:rsidRPr="009F31EE">
              <w:t>Úvod</w:t>
            </w:r>
            <w:r w:rsidRPr="009F31EE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891282" w:rsidP="009D103F">
            <w:pPr>
              <w:jc w:val="right"/>
            </w:pPr>
            <w:r w:rsidRPr="009F31EE">
              <w:t>3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7971" w:rsidP="00F26619">
            <w:r>
              <w:t>Daňová výtěžnost</w:t>
            </w:r>
            <w:r w:rsidR="00C52F1D" w:rsidRPr="009F31EE">
              <w:t xml:space="preserve"> za období 1.1. - </w:t>
            </w:r>
            <w:proofErr w:type="gramStart"/>
            <w:r w:rsidR="00C52F1D" w:rsidRPr="009F31EE">
              <w:t>30.6.20</w:t>
            </w:r>
            <w:r w:rsidR="008B5FA0" w:rsidRPr="009F31EE">
              <w:t>1</w:t>
            </w:r>
            <w:r w:rsidR="00F26619">
              <w:t>6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891282" w:rsidP="00C57971">
            <w:pPr>
              <w:jc w:val="right"/>
            </w:pPr>
            <w:r w:rsidRPr="009F31EE">
              <w:t>3</w:t>
            </w:r>
            <w:r w:rsidR="00C57971">
              <w:t>2</w:t>
            </w:r>
          </w:p>
        </w:tc>
      </w:tr>
      <w:tr w:rsidR="00EC6C8F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EC6C8F" w:rsidRDefault="00EC6C8F" w:rsidP="00097FD2">
            <w:r>
              <w:t xml:space="preserve">Kapitola 10 – </w:t>
            </w:r>
            <w:r w:rsidR="00097FD2">
              <w:t>k</w:t>
            </w:r>
            <w:r>
              <w:t>ancelář primátora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EC6C8F" w:rsidRPr="009F31EE" w:rsidRDefault="00EC6C8F" w:rsidP="00C57971">
            <w:pPr>
              <w:jc w:val="right"/>
            </w:pPr>
            <w:r>
              <w:t>35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097FD2">
            <w:pPr>
              <w:rPr>
                <w:b/>
                <w:bCs/>
              </w:rPr>
            </w:pPr>
            <w:r w:rsidRPr="009F31EE">
              <w:t xml:space="preserve">Kapitola 11 </w:t>
            </w:r>
            <w:r w:rsidR="006E6ACA" w:rsidRPr="009F31EE">
              <w:t>-</w:t>
            </w:r>
            <w:r w:rsidRPr="009F31EE">
              <w:t xml:space="preserve"> </w:t>
            </w:r>
            <w:r w:rsidR="00097FD2">
              <w:t>s</w:t>
            </w:r>
            <w:r w:rsidRPr="009F31EE">
              <w:t>práva a zabezpečení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9F31EE" w:rsidP="00C57971">
            <w:pPr>
              <w:jc w:val="right"/>
            </w:pPr>
            <w:r w:rsidRPr="009F31EE">
              <w:t>4</w:t>
            </w:r>
            <w:r w:rsidR="00C57971">
              <w:t>1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12 </w:t>
            </w:r>
            <w:r w:rsidR="006E6ACA" w:rsidRPr="009F31EE">
              <w:t>-</w:t>
            </w:r>
            <w:r w:rsidR="00097FD2">
              <w:t xml:space="preserve"> k</w:t>
            </w:r>
            <w:r w:rsidRPr="009F31EE">
              <w:t>rizové řízení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EC6C8F" w:rsidP="00587409">
            <w:pPr>
              <w:jc w:val="right"/>
            </w:pPr>
            <w:r>
              <w:t>46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pPr>
              <w:rPr>
                <w:b/>
                <w:bCs/>
              </w:rPr>
            </w:pPr>
            <w:r w:rsidRPr="009F31EE">
              <w:t xml:space="preserve">Kapitola 13 </w:t>
            </w:r>
            <w:r w:rsidR="006E6ACA" w:rsidRPr="009F31EE">
              <w:t>-</w:t>
            </w:r>
            <w:r w:rsidR="00097FD2">
              <w:t xml:space="preserve"> m</w:t>
            </w:r>
            <w:r w:rsidRPr="009F31EE">
              <w:t>ěstská policie</w:t>
            </w:r>
            <w:r w:rsidRPr="009F31EE">
              <w:tab/>
            </w:r>
            <w:r w:rsidRPr="009F31EE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587409" w:rsidP="00097FD2">
            <w:pPr>
              <w:jc w:val="right"/>
            </w:pPr>
            <w:r w:rsidRPr="009F31EE">
              <w:t>5</w:t>
            </w:r>
            <w:r w:rsidR="00097FD2">
              <w:t>1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14 </w:t>
            </w:r>
            <w:r w:rsidR="006E6ACA" w:rsidRPr="009F31EE">
              <w:t>-</w:t>
            </w:r>
            <w:r w:rsidRPr="009F31EE">
              <w:t xml:space="preserve"> </w:t>
            </w:r>
            <w:r w:rsidR="00097FD2">
              <w:t>k</w:t>
            </w:r>
            <w:r w:rsidR="00C804D5" w:rsidRPr="009F31EE">
              <w:t>ancelář tajemníka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097FD2" w:rsidP="009D103F">
            <w:pPr>
              <w:jc w:val="right"/>
            </w:pPr>
            <w:r>
              <w:t>56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6E6ACA">
            <w:r w:rsidRPr="009F31EE">
              <w:t xml:space="preserve">Kapitola 15 </w:t>
            </w:r>
            <w:r w:rsidR="006E6ACA" w:rsidRPr="009F31EE">
              <w:t>-</w:t>
            </w:r>
            <w:r w:rsidR="00097FD2">
              <w:t xml:space="preserve"> i</w:t>
            </w:r>
            <w:r w:rsidRPr="009F31EE">
              <w:t>nformační technologie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587409" w:rsidP="009F31EE">
            <w:pPr>
              <w:jc w:val="right"/>
            </w:pPr>
            <w:r w:rsidRPr="009F31EE">
              <w:t>6</w:t>
            </w:r>
            <w:r w:rsidR="00097FD2">
              <w:t>2</w:t>
            </w:r>
          </w:p>
        </w:tc>
      </w:tr>
      <w:tr w:rsidR="00C52F1D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52F1D" w:rsidP="00097FD2">
            <w:r w:rsidRPr="009F31EE">
              <w:t xml:space="preserve">Kapitola 16 </w:t>
            </w:r>
            <w:r w:rsidR="006E6ACA" w:rsidRPr="009F31EE">
              <w:t>-</w:t>
            </w:r>
            <w:r w:rsidR="00097FD2">
              <w:t xml:space="preserve"> o</w:t>
            </w:r>
            <w:r w:rsidRPr="009F31EE">
              <w:t>bčanské záležitosti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097FD2" w:rsidP="009D103F">
            <w:pPr>
              <w:jc w:val="right"/>
            </w:pPr>
            <w:r>
              <w:t>66</w:t>
            </w:r>
          </w:p>
        </w:tc>
      </w:tr>
      <w:tr w:rsidR="00C3242A" w:rsidRPr="009F31EE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3242A" w:rsidRPr="009F31EE" w:rsidRDefault="00C3242A" w:rsidP="006E6ACA">
            <w:r w:rsidRPr="009F31EE">
              <w:t>Kapitola 19</w:t>
            </w:r>
            <w:r w:rsidR="006E6ACA" w:rsidRPr="009F31EE">
              <w:t xml:space="preserve"> -</w:t>
            </w:r>
            <w:r w:rsidRPr="009F31EE">
              <w:t xml:space="preserve"> DUHA KK u hradeb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242A" w:rsidRPr="009F31EE" w:rsidRDefault="00AA1F1F" w:rsidP="009D103F">
            <w:pPr>
              <w:jc w:val="right"/>
            </w:pPr>
            <w:r>
              <w:t>6</w:t>
            </w:r>
            <w:r w:rsidR="00097FD2">
              <w:t>9</w:t>
            </w:r>
          </w:p>
        </w:tc>
      </w:tr>
      <w:tr w:rsidR="00C52F1D" w:rsidRPr="00C52F1D" w:rsidTr="009F31EE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9F31EE" w:rsidRDefault="00C804D5" w:rsidP="006E6ACA">
            <w:pPr>
              <w:rPr>
                <w:b/>
                <w:bCs/>
              </w:rPr>
            </w:pPr>
            <w:r w:rsidRPr="009F31EE">
              <w:t xml:space="preserve">Kapitola 20 </w:t>
            </w:r>
            <w:r w:rsidR="006E6ACA" w:rsidRPr="009F31EE">
              <w:t>-</w:t>
            </w:r>
            <w:r w:rsidR="00097FD2">
              <w:t xml:space="preserve"> š</w:t>
            </w:r>
            <w:r w:rsidRPr="009F31EE">
              <w:t xml:space="preserve">kolství, </w:t>
            </w:r>
            <w:r w:rsidR="00C52F1D" w:rsidRPr="009F31EE">
              <w:t>kultura</w:t>
            </w:r>
            <w:r w:rsidRPr="009F31EE">
              <w:t xml:space="preserve"> a sport</w:t>
            </w:r>
            <w:r w:rsidR="00C52F1D" w:rsidRPr="009F31EE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C52F1D" w:rsidRDefault="00EC6C8F" w:rsidP="009D103F">
            <w:pPr>
              <w:jc w:val="right"/>
            </w:pPr>
            <w:r>
              <w:t>74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21 </w:t>
            </w:r>
            <w:r w:rsidR="006E6ACA" w:rsidRPr="00F26A4D">
              <w:t>-</w:t>
            </w:r>
            <w:r w:rsidR="00097FD2">
              <w:t xml:space="preserve"> s</w:t>
            </w:r>
            <w:r w:rsidRPr="00F26A4D">
              <w:t>ociální věci</w:t>
            </w:r>
            <w:r w:rsidRPr="00F26A4D">
              <w:tab/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F26A4D">
            <w:pPr>
              <w:jc w:val="right"/>
            </w:pPr>
            <w:r w:rsidRPr="00F26A4D">
              <w:t>1</w:t>
            </w:r>
            <w:r w:rsidR="00097FD2">
              <w:t>31</w:t>
            </w:r>
          </w:p>
        </w:tc>
      </w:tr>
      <w:tr w:rsidR="001C579F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1C579F" w:rsidRPr="00F26A4D" w:rsidRDefault="001C579F" w:rsidP="00097FD2">
            <w:r>
              <w:t xml:space="preserve">Kapitola 30 – </w:t>
            </w:r>
            <w:r w:rsidR="00097FD2">
              <w:t>o</w:t>
            </w:r>
            <w:r>
              <w:t>becní živnostenský úřad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C579F" w:rsidRPr="00F26A4D" w:rsidRDefault="00097FD2" w:rsidP="00F26A4D">
            <w:pPr>
              <w:jc w:val="right"/>
            </w:pPr>
            <w:r>
              <w:t>139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9D103F">
            <w:pPr>
              <w:rPr>
                <w:b/>
                <w:bCs/>
              </w:rPr>
            </w:pPr>
            <w:r>
              <w:t>Kapitola 40 - ž</w:t>
            </w:r>
            <w:r w:rsidR="00C52F1D" w:rsidRPr="00F26A4D">
              <w:t>ivotní prostředí</w:t>
            </w:r>
            <w:r w:rsidR="00C52F1D"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F26A4D">
            <w:pPr>
              <w:jc w:val="right"/>
            </w:pPr>
            <w:r w:rsidRPr="00F26A4D">
              <w:t>1</w:t>
            </w:r>
            <w:r w:rsidR="00097FD2">
              <w:t>41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>
            <w:r w:rsidRPr="00F26A4D">
              <w:t xml:space="preserve">Kapitola 41 - </w:t>
            </w:r>
            <w:r w:rsidR="00097FD2">
              <w:t>d</w:t>
            </w:r>
            <w:r w:rsidRPr="00F26A4D">
              <w:t>oprava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F26A4D">
            <w:pPr>
              <w:jc w:val="right"/>
            </w:pPr>
            <w:r w:rsidRPr="00F26A4D">
              <w:t>1</w:t>
            </w:r>
            <w:r w:rsidR="00097FD2">
              <w:t>45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C804D5">
            <w:pPr>
              <w:rPr>
                <w:b/>
                <w:bCs/>
              </w:rPr>
            </w:pPr>
            <w:r>
              <w:t>Kapitola 50 - s</w:t>
            </w:r>
            <w:r w:rsidR="00540CC9" w:rsidRPr="00F26A4D">
              <w:t>práva a nakládání s majetkem města</w:t>
            </w:r>
            <w:r w:rsidR="00540CC9"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9D103F">
            <w:pPr>
              <w:jc w:val="right"/>
            </w:pPr>
            <w:r w:rsidRPr="00F26A4D">
              <w:t>1</w:t>
            </w:r>
            <w:r w:rsidR="00097FD2">
              <w:t>48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60 </w:t>
            </w:r>
            <w:r w:rsidR="006E6ACA" w:rsidRPr="00F26A4D">
              <w:t>-</w:t>
            </w:r>
            <w:r w:rsidR="00097FD2">
              <w:t xml:space="preserve"> r</w:t>
            </w:r>
            <w:r w:rsidRPr="00F26A4D">
              <w:t>ozvoj a investice</w:t>
            </w:r>
            <w:r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001625">
            <w:pPr>
              <w:jc w:val="right"/>
            </w:pPr>
            <w:r w:rsidRPr="00F26A4D">
              <w:t>1</w:t>
            </w:r>
            <w:r w:rsidR="00097FD2">
              <w:t>55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9D103F">
            <w:pPr>
              <w:rPr>
                <w:b/>
                <w:bCs/>
              </w:rPr>
            </w:pPr>
            <w:r>
              <w:t>Kapitola 61 - s</w:t>
            </w:r>
            <w:r w:rsidR="00C52F1D" w:rsidRPr="00F26A4D">
              <w:t xml:space="preserve">tavební úřad </w:t>
            </w:r>
            <w:r w:rsidR="00C52F1D" w:rsidRPr="00F26A4D"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9D103F">
            <w:pPr>
              <w:jc w:val="right"/>
            </w:pPr>
            <w:r>
              <w:t>177</w:t>
            </w:r>
          </w:p>
        </w:tc>
      </w:tr>
      <w:tr w:rsidR="009F2040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9F2040" w:rsidRPr="00F26A4D" w:rsidRDefault="009F2040" w:rsidP="00097FD2">
            <w:r>
              <w:t xml:space="preserve">Kapitola 62 </w:t>
            </w:r>
            <w:r w:rsidR="00947CB1">
              <w:t>–</w:t>
            </w:r>
            <w:r>
              <w:t xml:space="preserve"> </w:t>
            </w:r>
            <w:r w:rsidR="00097FD2">
              <w:t>ú</w:t>
            </w:r>
            <w:r w:rsidR="00947CB1">
              <w:t>zemní plánování a památková péče</w:t>
            </w:r>
            <w:r w:rsidR="00097FD2">
              <w:t xml:space="preserve">                                                                 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9F2040" w:rsidRDefault="00097FD2" w:rsidP="009D103F">
            <w:pPr>
              <w:jc w:val="right"/>
            </w:pPr>
            <w:r>
              <w:t>180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70 </w:t>
            </w:r>
            <w:r w:rsidR="006E6ACA" w:rsidRPr="00F26A4D">
              <w:t>-</w:t>
            </w:r>
            <w:r w:rsidR="00097FD2">
              <w:t xml:space="preserve"> f</w:t>
            </w:r>
            <w:r w:rsidRPr="00F26A4D">
              <w:t>inanční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A9526A" w:rsidP="009D103F">
            <w:pPr>
              <w:jc w:val="right"/>
            </w:pPr>
            <w:r w:rsidRPr="00F26A4D">
              <w:t>1</w:t>
            </w:r>
            <w:r w:rsidR="00097FD2">
              <w:t>83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097FD2">
            <w:pPr>
              <w:rPr>
                <w:b/>
                <w:bCs/>
              </w:rPr>
            </w:pPr>
            <w:r>
              <w:t>Kapitola 71 - so</w:t>
            </w:r>
            <w:r w:rsidR="00C52F1D" w:rsidRPr="00F26A4D">
              <w:t xml:space="preserve">ciální fond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9D103F">
            <w:pPr>
              <w:jc w:val="right"/>
            </w:pPr>
            <w:r>
              <w:t>193</w:t>
            </w:r>
          </w:p>
        </w:tc>
      </w:tr>
      <w:tr w:rsidR="00C52F1D" w:rsidRPr="00F26A4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6E6ACA">
            <w:pPr>
              <w:rPr>
                <w:b/>
                <w:bCs/>
              </w:rPr>
            </w:pPr>
            <w:r w:rsidRPr="00F26A4D">
              <w:t xml:space="preserve">Kapitola 90 </w:t>
            </w:r>
            <w:r w:rsidR="006E6ACA" w:rsidRPr="00F26A4D">
              <w:t>-</w:t>
            </w:r>
            <w:r w:rsidRPr="00F26A4D">
              <w:t xml:space="preserve"> </w:t>
            </w:r>
            <w:r w:rsidR="00097FD2">
              <w:t>s</w:t>
            </w:r>
            <w:r w:rsidR="00C804D5" w:rsidRPr="00F26A4D">
              <w:t>práva a údržba majetku města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097FD2" w:rsidP="009D103F">
            <w:pPr>
              <w:jc w:val="right"/>
            </w:pPr>
            <w:r>
              <w:t>197</w:t>
            </w:r>
          </w:p>
        </w:tc>
      </w:tr>
      <w:tr w:rsidR="00C52F1D" w:rsidRPr="00C52F1D" w:rsidTr="00F26A4D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F26A4D" w:rsidRDefault="00C52F1D" w:rsidP="009D103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52F1D" w:rsidRPr="00C52F1D" w:rsidRDefault="00C52F1D" w:rsidP="009D103F">
            <w:pPr>
              <w:jc w:val="right"/>
            </w:pPr>
          </w:p>
        </w:tc>
      </w:tr>
    </w:tbl>
    <w:p w:rsidR="00C52F1D" w:rsidRPr="00C52F1D" w:rsidRDefault="00C52F1D" w:rsidP="009D103F">
      <w:pPr>
        <w:rPr>
          <w:b/>
          <w:bCs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F76DDD" w:rsidRDefault="00F76DDD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9D103F">
      <w:pPr>
        <w:pStyle w:val="Nzev"/>
        <w:rPr>
          <w:rFonts w:ascii="Times New Roman" w:hAnsi="Times New Roman" w:cs="Times New Roman"/>
        </w:rPr>
      </w:pPr>
    </w:p>
    <w:p w:rsidR="00F67C72" w:rsidRDefault="00F67C72" w:rsidP="009D103F">
      <w:pPr>
        <w:pStyle w:val="Nzev"/>
        <w:rPr>
          <w:rFonts w:ascii="Times New Roman" w:hAnsi="Times New Roman" w:cs="Times New Roman"/>
        </w:rPr>
      </w:pPr>
    </w:p>
    <w:p w:rsidR="00C52F1D" w:rsidRDefault="00C52F1D" w:rsidP="00CC365C">
      <w:pPr>
        <w:pStyle w:val="Nzev"/>
        <w:jc w:val="left"/>
        <w:rPr>
          <w:rFonts w:ascii="Times New Roman" w:hAnsi="Times New Roman" w:cs="Times New Roman"/>
        </w:rPr>
      </w:pPr>
    </w:p>
    <w:p w:rsidR="00A267D5" w:rsidRPr="00C52F1D" w:rsidRDefault="00A267D5" w:rsidP="007A7697">
      <w:pPr>
        <w:pStyle w:val="Nzev"/>
        <w:jc w:val="both"/>
        <w:rPr>
          <w:rFonts w:ascii="Times New Roman" w:hAnsi="Times New Roman" w:cs="Times New Roman"/>
        </w:rPr>
      </w:pPr>
      <w:r w:rsidRPr="00C52F1D">
        <w:rPr>
          <w:rFonts w:ascii="Times New Roman" w:hAnsi="Times New Roman" w:cs="Times New Roman"/>
        </w:rPr>
        <w:t>Důvodová zpráva</w:t>
      </w:r>
    </w:p>
    <w:p w:rsidR="00A267D5" w:rsidRPr="00C52F1D" w:rsidRDefault="00A267D5" w:rsidP="007A7697">
      <w:pPr>
        <w:jc w:val="both"/>
        <w:rPr>
          <w:b/>
          <w:bCs/>
          <w:sz w:val="24"/>
          <w:szCs w:val="24"/>
        </w:rPr>
      </w:pPr>
    </w:p>
    <w:p w:rsidR="00A267D5" w:rsidRPr="00C52F1D" w:rsidRDefault="00A267D5" w:rsidP="007A7697">
      <w:pPr>
        <w:jc w:val="both"/>
        <w:rPr>
          <w:b/>
          <w:bCs/>
          <w:sz w:val="24"/>
          <w:szCs w:val="24"/>
          <w:u w:val="single"/>
        </w:rPr>
      </w:pPr>
      <w:r w:rsidRPr="00C52F1D">
        <w:rPr>
          <w:b/>
          <w:bCs/>
          <w:sz w:val="24"/>
          <w:szCs w:val="24"/>
          <w:u w:val="single"/>
        </w:rPr>
        <w:t>Úvod</w:t>
      </w:r>
    </w:p>
    <w:p w:rsidR="00A267D5" w:rsidRPr="00AC1B68" w:rsidRDefault="00A267D5" w:rsidP="007A7697">
      <w:pPr>
        <w:jc w:val="both"/>
        <w:rPr>
          <w:b/>
          <w:bCs/>
        </w:rPr>
      </w:pPr>
    </w:p>
    <w:p w:rsidR="00A267D5" w:rsidRPr="00C52F1D" w:rsidRDefault="00A267D5" w:rsidP="007A7697">
      <w:pPr>
        <w:pStyle w:val="Nadpis1"/>
        <w:shd w:val="clear" w:color="auto" w:fill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2CF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Hlavní činnost</w:t>
      </w:r>
    </w:p>
    <w:p w:rsidR="00A267D5" w:rsidRPr="00AC1B68" w:rsidRDefault="00A267D5" w:rsidP="007A7697">
      <w:pPr>
        <w:jc w:val="both"/>
        <w:rPr>
          <w:b/>
          <w:bCs/>
        </w:rPr>
      </w:pPr>
    </w:p>
    <w:bookmarkStart w:id="0" w:name="_964941838"/>
    <w:bookmarkEnd w:id="0"/>
    <w:bookmarkStart w:id="1" w:name="_MON_1499771109"/>
    <w:bookmarkEnd w:id="1"/>
    <w:p w:rsidR="00A267D5" w:rsidRPr="00C52F1D" w:rsidRDefault="00BB1EEA" w:rsidP="007A7697">
      <w:pPr>
        <w:jc w:val="both"/>
        <w:rPr>
          <w:b/>
          <w:bCs/>
          <w:sz w:val="28"/>
          <w:szCs w:val="28"/>
        </w:rPr>
      </w:pPr>
      <w:r w:rsidRPr="00C52F1D">
        <w:rPr>
          <w:b/>
          <w:bCs/>
          <w:sz w:val="28"/>
          <w:szCs w:val="28"/>
        </w:rPr>
        <w:object w:dxaOrig="9918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41.5pt" o:ole="" fillcolor="window">
            <v:imagedata r:id="rId9" o:title=""/>
          </v:shape>
          <o:OLEObject Type="Embed" ProgID="Excel.Sheet.8" ShapeID="_x0000_i1025" DrawAspect="Content" ObjectID="_1532866428" r:id="rId10"/>
        </w:object>
      </w:r>
    </w:p>
    <w:p w:rsidR="00A267D5" w:rsidRPr="000D12CD" w:rsidRDefault="00A267D5" w:rsidP="007A7697">
      <w:pPr>
        <w:jc w:val="both"/>
        <w:rPr>
          <w:sz w:val="16"/>
          <w:szCs w:val="16"/>
        </w:rPr>
      </w:pPr>
    </w:p>
    <w:p w:rsidR="00A50236" w:rsidRPr="00A50236" w:rsidRDefault="000D12CD" w:rsidP="007A7697">
      <w:pPr>
        <w:jc w:val="both"/>
        <w:rPr>
          <w:i/>
        </w:rPr>
      </w:pPr>
      <w:r>
        <w:rPr>
          <w:i/>
        </w:rPr>
        <w:t>Poznámka: Finanční hodnoty jsou zaokrouhleny na dvě desetinná místa</w:t>
      </w:r>
    </w:p>
    <w:p w:rsidR="00A267D5" w:rsidRPr="00C52F1D" w:rsidRDefault="00A267D5" w:rsidP="007A7697">
      <w:pPr>
        <w:pStyle w:val="Zpat"/>
        <w:tabs>
          <w:tab w:val="clear" w:pos="4536"/>
          <w:tab w:val="clear" w:pos="9072"/>
        </w:tabs>
        <w:jc w:val="both"/>
      </w:pPr>
    </w:p>
    <w:p w:rsidR="00A267D5" w:rsidRPr="00C52F1D" w:rsidRDefault="00A267D5" w:rsidP="007A7697">
      <w:pPr>
        <w:jc w:val="both"/>
      </w:pPr>
      <w:r w:rsidRPr="00C52F1D">
        <w:tab/>
        <w:t xml:space="preserve">Průběžné </w:t>
      </w:r>
      <w:r w:rsidR="00735044">
        <w:t>rozpočtové</w:t>
      </w:r>
      <w:r w:rsidRPr="00C52F1D">
        <w:t xml:space="preserve"> hospodaření </w:t>
      </w:r>
      <w:r w:rsidR="001072CF">
        <w:t xml:space="preserve">statutárního </w:t>
      </w:r>
      <w:r w:rsidR="00A72DE9" w:rsidRPr="00C52F1D">
        <w:t>m</w:t>
      </w:r>
      <w:r w:rsidRPr="00C52F1D">
        <w:t xml:space="preserve">ěsta Prostějova skončilo ve sledovaném období kladným saldem příjmů a výdajů ve výši </w:t>
      </w:r>
      <w:r w:rsidR="00A118B4">
        <w:rPr>
          <w:b/>
          <w:bCs/>
        </w:rPr>
        <w:t>97.871.941,78</w:t>
      </w:r>
      <w:r w:rsidRPr="00C52F1D">
        <w:rPr>
          <w:b/>
          <w:bCs/>
        </w:rPr>
        <w:t xml:space="preserve"> Kč</w:t>
      </w:r>
      <w:r w:rsidRPr="00C52F1D">
        <w:t xml:space="preserve">. Na tomto relativně příznivém </w:t>
      </w:r>
      <w:r w:rsidR="00A118B4">
        <w:t xml:space="preserve">průběžném </w:t>
      </w:r>
      <w:r w:rsidRPr="00C52F1D">
        <w:t xml:space="preserve">hospodaření se podílela ta skutečnost, že plnění </w:t>
      </w:r>
      <w:r w:rsidR="00735044">
        <w:t xml:space="preserve">rozpočtových </w:t>
      </w:r>
      <w:r w:rsidRPr="00C52F1D">
        <w:t xml:space="preserve">příjmů </w:t>
      </w:r>
      <w:r w:rsidR="00E5308E">
        <w:t xml:space="preserve">v konsolidované podobě </w:t>
      </w:r>
      <w:r w:rsidRPr="00C52F1D">
        <w:t>dosáhlo za I. pololetí 20</w:t>
      </w:r>
      <w:r w:rsidR="008B5FA0">
        <w:t>1</w:t>
      </w:r>
      <w:r w:rsidR="00A118B4">
        <w:t>6</w:t>
      </w:r>
      <w:r w:rsidRPr="00C52F1D">
        <w:t xml:space="preserve"> </w:t>
      </w:r>
      <w:r w:rsidR="00A72DE9" w:rsidRPr="00C52F1D">
        <w:t>výše</w:t>
      </w:r>
      <w:r w:rsidRPr="00C52F1D">
        <w:t xml:space="preserve"> </w:t>
      </w:r>
      <w:r w:rsidR="00A118B4">
        <w:t>53,53</w:t>
      </w:r>
      <w:r w:rsidR="002359C1">
        <w:t>%</w:t>
      </w:r>
      <w:r w:rsidRPr="00C52F1D">
        <w:t xml:space="preserve"> celoročně rozpočtovaných příjmů, naopak čerpání</w:t>
      </w:r>
      <w:r w:rsidR="00735044">
        <w:t xml:space="preserve"> rozpočtových</w:t>
      </w:r>
      <w:r w:rsidRPr="00C52F1D">
        <w:t xml:space="preserve"> výdajů </w:t>
      </w:r>
      <w:r w:rsidR="00E5308E">
        <w:t xml:space="preserve">v konsolidované podobě </w:t>
      </w:r>
      <w:r w:rsidRPr="00C52F1D">
        <w:t xml:space="preserve">představovalo pouze </w:t>
      </w:r>
      <w:r w:rsidR="00A72DE9" w:rsidRPr="00C52F1D">
        <w:t>výš</w:t>
      </w:r>
      <w:r w:rsidR="00735044">
        <w:t>i</w:t>
      </w:r>
      <w:r w:rsidRPr="00C52F1D">
        <w:t xml:space="preserve"> </w:t>
      </w:r>
      <w:r w:rsidR="00A118B4">
        <w:t>34,88</w:t>
      </w:r>
      <w:r w:rsidRPr="00C52F1D">
        <w:t xml:space="preserve">% celoročně rozpočtovaných výdajů. V tomto období se tedy projevil určitý časový nesoulad mezi </w:t>
      </w:r>
      <w:r w:rsidR="00BB4777">
        <w:t xml:space="preserve">průběžně </w:t>
      </w:r>
      <w:r w:rsidRPr="00C52F1D">
        <w:t>dosaženými</w:t>
      </w:r>
      <w:r w:rsidR="00735044">
        <w:t xml:space="preserve"> rozpočtovými</w:t>
      </w:r>
      <w:r w:rsidRPr="00C52F1D">
        <w:t xml:space="preserve"> příjmy a </w:t>
      </w:r>
      <w:r w:rsidR="00A118B4">
        <w:t xml:space="preserve">průběžně </w:t>
      </w:r>
      <w:r w:rsidRPr="00C52F1D">
        <w:t xml:space="preserve">vynaloženými </w:t>
      </w:r>
      <w:r w:rsidR="00735044">
        <w:t xml:space="preserve">rozpočtovými </w:t>
      </w:r>
      <w:r w:rsidRPr="00C52F1D">
        <w:t xml:space="preserve">výdaji </w:t>
      </w:r>
      <w:r w:rsidR="00A118B4">
        <w:t>v rámci aktuálního</w:t>
      </w:r>
      <w:r w:rsidR="00A72DE9" w:rsidRPr="00C52F1D">
        <w:t xml:space="preserve"> </w:t>
      </w:r>
      <w:r w:rsidRPr="00C52F1D">
        <w:t>rozpočtu. Je předpoklad, že ve II. pololetí 20</w:t>
      </w:r>
      <w:r w:rsidR="00CD3B74">
        <w:t>1</w:t>
      </w:r>
      <w:r w:rsidR="00A118B4">
        <w:t>6</w:t>
      </w:r>
      <w:r w:rsidRPr="00C52F1D">
        <w:t xml:space="preserve"> dojde, </w:t>
      </w:r>
      <w:r w:rsidR="00364B22" w:rsidRPr="00C52F1D">
        <w:t xml:space="preserve">pokud plnění </w:t>
      </w:r>
      <w:r w:rsidR="00735044">
        <w:t xml:space="preserve">rozpočtových </w:t>
      </w:r>
      <w:r w:rsidRPr="00C52F1D">
        <w:t xml:space="preserve">příjmů a </w:t>
      </w:r>
      <w:r w:rsidR="00735044">
        <w:t xml:space="preserve">rozpočtových </w:t>
      </w:r>
      <w:r w:rsidRPr="00C52F1D">
        <w:t>výdajů</w:t>
      </w:r>
      <w:r w:rsidR="00364B22" w:rsidRPr="00C52F1D">
        <w:t xml:space="preserve"> dosáhne 100% hodnoty</w:t>
      </w:r>
      <w:r w:rsidRPr="00C52F1D">
        <w:t>, ke srovnání tohoto časového nesouladu a plnění rozpočtu bude probíhat v intencích aktuálního rozpočtu</w:t>
      </w:r>
      <w:r w:rsidR="00A118B4">
        <w:t>.</w:t>
      </w:r>
      <w:r w:rsidRPr="00C52F1D">
        <w:t xml:space="preserve"> </w:t>
      </w:r>
      <w:r w:rsidR="00A118B4">
        <w:t>C</w:t>
      </w:r>
      <w:r w:rsidRPr="00C52F1D">
        <w:t xml:space="preserve">eloroční rozpočtový deficit v objemu </w:t>
      </w:r>
      <w:r w:rsidR="00A118B4">
        <w:t>148.033.453,86</w:t>
      </w:r>
      <w:r w:rsidR="00735044">
        <w:t xml:space="preserve"> </w:t>
      </w:r>
      <w:r w:rsidRPr="00C52F1D">
        <w:t xml:space="preserve">Kč </w:t>
      </w:r>
      <w:r w:rsidR="00A118B4">
        <w:t>vykázaný k </w:t>
      </w:r>
      <w:proofErr w:type="gramStart"/>
      <w:r w:rsidR="00A118B4">
        <w:t xml:space="preserve">30.6. </w:t>
      </w:r>
      <w:r w:rsidRPr="00C52F1D">
        <w:t>je</w:t>
      </w:r>
      <w:proofErr w:type="gramEnd"/>
      <w:r w:rsidRPr="00C52F1D">
        <w:t xml:space="preserve"> plánovaně kryt z</w:t>
      </w:r>
      <w:r w:rsidR="00A72DE9" w:rsidRPr="00C52F1D">
        <w:t xml:space="preserve"> rezerv města </w:t>
      </w:r>
      <w:r w:rsidRPr="00C52F1D">
        <w:t xml:space="preserve">užitím prostředků </w:t>
      </w:r>
      <w:r w:rsidR="00E5308E">
        <w:t xml:space="preserve">uložených v </w:t>
      </w:r>
      <w:r w:rsidRPr="00C52F1D">
        <w:t>trvalých peněžních fond</w:t>
      </w:r>
      <w:r w:rsidR="00E5308E">
        <w:t>ech</w:t>
      </w:r>
      <w:r w:rsidRPr="00C52F1D">
        <w:t xml:space="preserve"> </w:t>
      </w:r>
      <w:r w:rsidR="00A118B4">
        <w:t xml:space="preserve">statutárního </w:t>
      </w:r>
      <w:r w:rsidR="00A72DE9" w:rsidRPr="00C52F1D">
        <w:t>m</w:t>
      </w:r>
      <w:r w:rsidRPr="00C52F1D">
        <w:t>ěsta Prostějova.</w:t>
      </w:r>
    </w:p>
    <w:p w:rsidR="00A267D5" w:rsidRPr="00C52F1D" w:rsidRDefault="00A267D5" w:rsidP="007A7697">
      <w:pPr>
        <w:jc w:val="both"/>
      </w:pPr>
    </w:p>
    <w:p w:rsidR="00A267D5" w:rsidRDefault="009D70D4" w:rsidP="007A7697">
      <w:pPr>
        <w:ind w:firstLine="708"/>
        <w:jc w:val="both"/>
      </w:pPr>
      <w:r>
        <w:t>Průběžné plnění</w:t>
      </w:r>
      <w:r w:rsidR="00721A9B">
        <w:t xml:space="preserve"> </w:t>
      </w:r>
      <w:r w:rsidR="00A267D5" w:rsidRPr="00C52F1D">
        <w:t>příjmů v konsolidované podobě (</w:t>
      </w:r>
      <w:r w:rsidR="00A267D5" w:rsidRPr="00C52F1D">
        <w:rPr>
          <w:b/>
          <w:bCs/>
        </w:rPr>
        <w:t>aktuální</w:t>
      </w:r>
      <w:r w:rsidR="00A267D5" w:rsidRPr="00C52F1D">
        <w:t xml:space="preserve"> </w:t>
      </w:r>
      <w:r w:rsidR="00A267D5" w:rsidRPr="00C52F1D">
        <w:rPr>
          <w:b/>
          <w:bCs/>
        </w:rPr>
        <w:t xml:space="preserve">rozpočet: </w:t>
      </w:r>
      <w:r w:rsidR="00947CB1">
        <w:rPr>
          <w:b/>
          <w:bCs/>
        </w:rPr>
        <w:t>801.697.210,14</w:t>
      </w:r>
      <w:r w:rsidR="00A267D5" w:rsidRPr="00C52F1D">
        <w:rPr>
          <w:b/>
          <w:bCs/>
        </w:rPr>
        <w:t xml:space="preserve"> Kč; skutečnost: </w:t>
      </w:r>
      <w:r w:rsidR="00947CB1">
        <w:rPr>
          <w:b/>
          <w:bCs/>
        </w:rPr>
        <w:t>429.118.324,60</w:t>
      </w:r>
      <w:r w:rsidR="00A267D5" w:rsidRPr="00C52F1D">
        <w:rPr>
          <w:b/>
          <w:bCs/>
        </w:rPr>
        <w:t xml:space="preserve"> Kč; plnění: </w:t>
      </w:r>
      <w:r w:rsidR="00947CB1">
        <w:rPr>
          <w:b/>
          <w:bCs/>
        </w:rPr>
        <w:t>53,53</w:t>
      </w:r>
      <w:r w:rsidR="00A267D5" w:rsidRPr="00C52F1D">
        <w:rPr>
          <w:b/>
          <w:bCs/>
        </w:rPr>
        <w:t>%</w:t>
      </w:r>
      <w:r w:rsidR="00A267D5" w:rsidRPr="00C52F1D">
        <w:t xml:space="preserve">) ovlivnila ve sledovaném </w:t>
      </w:r>
      <w:r w:rsidR="00A72DE9" w:rsidRPr="00C52F1D">
        <w:t xml:space="preserve">období svým </w:t>
      </w:r>
      <w:r w:rsidR="00BB4777">
        <w:t xml:space="preserve">finančním </w:t>
      </w:r>
      <w:r w:rsidR="00A72DE9" w:rsidRPr="00C52F1D">
        <w:t>objemem</w:t>
      </w:r>
      <w:r w:rsidR="00721A9B">
        <w:t xml:space="preserve"> zejména </w:t>
      </w:r>
      <w:r w:rsidR="00A72DE9" w:rsidRPr="00C52F1D">
        <w:t>kapitola</w:t>
      </w:r>
      <w:r w:rsidR="00C710B3">
        <w:t xml:space="preserve"> 21 – </w:t>
      </w:r>
      <w:r w:rsidR="00947CB1">
        <w:t>s</w:t>
      </w:r>
      <w:r w:rsidR="00C710B3">
        <w:t>ociální věci,</w:t>
      </w:r>
      <w:r w:rsidR="009F3C32" w:rsidRPr="00C52F1D">
        <w:t xml:space="preserve"> </w:t>
      </w:r>
      <w:r w:rsidR="002359C1">
        <w:t xml:space="preserve">50 – </w:t>
      </w:r>
      <w:r w:rsidR="00947CB1">
        <w:t>s</w:t>
      </w:r>
      <w:r w:rsidR="00FB29EC">
        <w:t>pr</w:t>
      </w:r>
      <w:r w:rsidR="009106B4">
        <w:t>áva a nakládání s majetkem města,</w:t>
      </w:r>
      <w:r w:rsidR="0055128F">
        <w:t xml:space="preserve"> </w:t>
      </w:r>
      <w:r w:rsidR="00CD3B74">
        <w:t xml:space="preserve">kapitola 70 – </w:t>
      </w:r>
      <w:r w:rsidR="00947CB1">
        <w:t>f</w:t>
      </w:r>
      <w:r w:rsidR="00CD3B74">
        <w:t>inanční</w:t>
      </w:r>
      <w:r w:rsidR="009106B4">
        <w:t xml:space="preserve"> a kapitola 90 – správa a údržba majetku města</w:t>
      </w:r>
      <w:r w:rsidR="00E5308E">
        <w:t>.</w:t>
      </w:r>
      <w:r w:rsidR="00CD3B74">
        <w:t xml:space="preserve"> </w:t>
      </w:r>
      <w:r w:rsidR="009F3C32" w:rsidRPr="00C52F1D">
        <w:t xml:space="preserve">Tyto kapitoly vykazují nejvyšší </w:t>
      </w:r>
      <w:r w:rsidR="00FB29EC">
        <w:t>abnormality k danému období</w:t>
      </w:r>
      <w:r w:rsidR="009F3C32" w:rsidRPr="00C52F1D">
        <w:t xml:space="preserve"> v</w:t>
      </w:r>
      <w:r w:rsidR="0055128F">
        <w:t> </w:t>
      </w:r>
      <w:r w:rsidR="009F3C32" w:rsidRPr="00C52F1D">
        <w:t>plnění</w:t>
      </w:r>
      <w:r w:rsidR="0055128F">
        <w:t xml:space="preserve"> rozpočtových</w:t>
      </w:r>
      <w:r w:rsidR="009F3C32" w:rsidRPr="00C52F1D">
        <w:t xml:space="preserve"> </w:t>
      </w:r>
      <w:r w:rsidR="000419C4">
        <w:t>příjmů</w:t>
      </w:r>
      <w:r w:rsidR="00FB29EC">
        <w:t xml:space="preserve"> města</w:t>
      </w:r>
      <w:r w:rsidR="000419C4">
        <w:t xml:space="preserve"> </w:t>
      </w:r>
      <w:r w:rsidR="009F3C32" w:rsidRPr="00C52F1D">
        <w:t xml:space="preserve">oproti ideálním 50% a </w:t>
      </w:r>
      <w:r w:rsidR="00CD3B74">
        <w:t xml:space="preserve">současně </w:t>
      </w:r>
      <w:r w:rsidR="009F3C32" w:rsidRPr="00C52F1D">
        <w:t xml:space="preserve">mají </w:t>
      </w:r>
      <w:r w:rsidR="00CD3B74">
        <w:t xml:space="preserve">svým objemem </w:t>
      </w:r>
      <w:r w:rsidR="009F3C32" w:rsidRPr="00C52F1D">
        <w:t xml:space="preserve">rozhodující finanční vliv na celkový </w:t>
      </w:r>
      <w:r w:rsidR="00C710B3">
        <w:t xml:space="preserve">aktuální </w:t>
      </w:r>
      <w:r w:rsidR="009F3C32" w:rsidRPr="00C52F1D">
        <w:t>rozpočet</w:t>
      </w:r>
      <w:r w:rsidR="00947CB1">
        <w:t xml:space="preserve"> statutárního</w:t>
      </w:r>
      <w:r w:rsidR="009F3C32" w:rsidRPr="00C52F1D">
        <w:t xml:space="preserve"> města Prostějova </w:t>
      </w:r>
      <w:r w:rsidR="00CD3B74">
        <w:t>pro rok</w:t>
      </w:r>
      <w:r w:rsidR="009F3C32" w:rsidRPr="00C52F1D">
        <w:t xml:space="preserve"> 20</w:t>
      </w:r>
      <w:r w:rsidR="00CD3B74">
        <w:t>1</w:t>
      </w:r>
      <w:r w:rsidR="00947CB1">
        <w:t>6</w:t>
      </w:r>
      <w:r w:rsidR="009F3C32" w:rsidRPr="00C52F1D">
        <w:t>.</w:t>
      </w:r>
    </w:p>
    <w:p w:rsidR="006A4AD1" w:rsidRDefault="006A4AD1" w:rsidP="007A7697">
      <w:pPr>
        <w:ind w:firstLine="708"/>
        <w:jc w:val="both"/>
      </w:pPr>
    </w:p>
    <w:p w:rsidR="001E0067" w:rsidRDefault="009D70D4" w:rsidP="001E0067">
      <w:pPr>
        <w:ind w:firstLine="708"/>
        <w:jc w:val="both"/>
      </w:pPr>
      <w:r>
        <w:t>Průběžné p</w:t>
      </w:r>
      <w:r w:rsidR="00C710B3" w:rsidRPr="00C52F1D">
        <w:t xml:space="preserve">lnění </w:t>
      </w:r>
      <w:r w:rsidR="00C710B3">
        <w:t xml:space="preserve">rozpočtových </w:t>
      </w:r>
      <w:r w:rsidR="00C710B3" w:rsidRPr="00C52F1D">
        <w:t xml:space="preserve">příjmů kapitoly </w:t>
      </w:r>
      <w:r w:rsidR="00C710B3">
        <w:rPr>
          <w:b/>
          <w:bCs/>
        </w:rPr>
        <w:t xml:space="preserve">21 – </w:t>
      </w:r>
      <w:r w:rsidR="007A3BC5">
        <w:rPr>
          <w:b/>
          <w:bCs/>
        </w:rPr>
        <w:t>s</w:t>
      </w:r>
      <w:r w:rsidR="00C710B3">
        <w:rPr>
          <w:b/>
          <w:bCs/>
        </w:rPr>
        <w:t>ociální věci</w:t>
      </w:r>
      <w:r w:rsidR="00C710B3" w:rsidRPr="00C52F1D">
        <w:t xml:space="preserve"> </w:t>
      </w:r>
      <w:r w:rsidR="00C710B3">
        <w:t>v I. pololetí 201</w:t>
      </w:r>
      <w:r w:rsidR="009106B4">
        <w:t>6</w:t>
      </w:r>
      <w:r w:rsidR="00C710B3" w:rsidRPr="00C52F1D">
        <w:t xml:space="preserve"> </w:t>
      </w:r>
      <w:r w:rsidR="00C13AEC">
        <w:rPr>
          <w:b/>
        </w:rPr>
        <w:t>(</w:t>
      </w:r>
      <w:r w:rsidR="009106B4">
        <w:rPr>
          <w:b/>
          <w:bCs/>
        </w:rPr>
        <w:t>151,58</w:t>
      </w:r>
      <w:r w:rsidR="00C710B3" w:rsidRPr="00C52F1D">
        <w:rPr>
          <w:b/>
          <w:bCs/>
        </w:rPr>
        <w:t>%)</w:t>
      </w:r>
      <w:r w:rsidR="00C710B3" w:rsidRPr="00C52F1D">
        <w:t xml:space="preserve"> </w:t>
      </w:r>
      <w:r w:rsidR="00C710B3">
        <w:t>rozhodným způsobem ovlivňují přijaté transfery ze státního rozpočtu</w:t>
      </w:r>
      <w:r w:rsidR="001E0067">
        <w:t xml:space="preserve"> (</w:t>
      </w:r>
      <w:r w:rsidR="0060176C">
        <w:t xml:space="preserve">rozpočet: 10,62 </w:t>
      </w:r>
      <w:r w:rsidR="001E0067">
        <w:t>mil. Kč</w:t>
      </w:r>
      <w:r w:rsidR="0060176C">
        <w:t xml:space="preserve">; skutečnost 16,09 </w:t>
      </w:r>
      <w:r w:rsidR="0060176C" w:rsidRPr="0060176C">
        <w:t>mil. Kč</w:t>
      </w:r>
      <w:r w:rsidR="001E0067" w:rsidRPr="0060176C">
        <w:t>)</w:t>
      </w:r>
      <w:r w:rsidR="00C710B3" w:rsidRPr="0060176C">
        <w:t xml:space="preserve">. </w:t>
      </w:r>
      <w:r w:rsidR="00A70C04" w:rsidRPr="0060176C">
        <w:t xml:space="preserve">Jde o </w:t>
      </w:r>
      <w:r w:rsidR="0060176C">
        <w:t>s</w:t>
      </w:r>
      <w:r w:rsidR="0060176C" w:rsidRPr="0060176C">
        <w:t>tátní příspěvek na výkon pěstounské péče (UZ 13010), dotace na výkon činnosti obce s rozšířenou působností – SPOD (UZ 13011), dotace na výkon sociální péče (UZ 13015) a dotace na projekty prevence kriminality (UZ 14018) přijaté v </w:t>
      </w:r>
      <w:r w:rsidR="0060176C">
        <w:t>I</w:t>
      </w:r>
      <w:r w:rsidR="0060176C" w:rsidRPr="0060176C">
        <w:t xml:space="preserve">. pololetí 2016. Státní příspěvek na výkon pěstounské péče je přijímán a účetně zpracováván průběžně dle nově uzavíraných </w:t>
      </w:r>
      <w:r w:rsidR="0060176C">
        <w:t>„</w:t>
      </w:r>
      <w:r w:rsidR="0060176C" w:rsidRPr="0060176C">
        <w:t>Dohod o výkonu pěstounské péče</w:t>
      </w:r>
      <w:r w:rsidR="0060176C">
        <w:t>“</w:t>
      </w:r>
      <w:r w:rsidR="0060176C" w:rsidRPr="0060176C">
        <w:t xml:space="preserve">. Dotace na výkon činnosti obce s rozšířenou působností – SPOD </w:t>
      </w:r>
      <w:proofErr w:type="gramStart"/>
      <w:r w:rsidR="0060176C" w:rsidRPr="0060176C">
        <w:t>je</w:t>
      </w:r>
      <w:proofErr w:type="gramEnd"/>
      <w:r w:rsidR="0060176C" w:rsidRPr="0060176C">
        <w:t xml:space="preserve"> uvolňována ze státního rozpočtu v rámci několika rozpočtových opatření.</w:t>
      </w:r>
      <w:r w:rsidR="007A3BC5">
        <w:t xml:space="preserve"> V průběhu II. pololetí budou dotační tituly srovnány.</w:t>
      </w:r>
      <w:r w:rsidR="001E0067" w:rsidRPr="0060176C">
        <w:t xml:space="preserve"> </w:t>
      </w:r>
      <w:r w:rsidR="001E0067" w:rsidRPr="0060176C">
        <w:rPr>
          <w:b/>
          <w:bCs/>
          <w:u w:val="single"/>
        </w:rPr>
        <w:t xml:space="preserve">Příjmy kapitoly svým objemem (aktuální rozpočet = </w:t>
      </w:r>
      <w:r w:rsidR="007A3BC5">
        <w:rPr>
          <w:b/>
          <w:bCs/>
          <w:u w:val="single"/>
        </w:rPr>
        <w:t>10.622,36</w:t>
      </w:r>
      <w:r w:rsidR="001E0067" w:rsidRPr="0060176C">
        <w:rPr>
          <w:b/>
          <w:bCs/>
          <w:u w:val="single"/>
        </w:rPr>
        <w:t xml:space="preserve"> tis. Kč; skutečnost = </w:t>
      </w:r>
      <w:r w:rsidR="007A3BC5">
        <w:rPr>
          <w:b/>
          <w:bCs/>
          <w:u w:val="single"/>
        </w:rPr>
        <w:t>16.101,56</w:t>
      </w:r>
      <w:r w:rsidR="001E0067" w:rsidRPr="0060176C">
        <w:rPr>
          <w:b/>
          <w:bCs/>
          <w:u w:val="single"/>
        </w:rPr>
        <w:t xml:space="preserve"> tis.</w:t>
      </w:r>
      <w:r w:rsidR="001E0067" w:rsidRPr="00B82746">
        <w:rPr>
          <w:b/>
          <w:bCs/>
          <w:u w:val="single"/>
        </w:rPr>
        <w:t xml:space="preserve"> Kč) rozhodnou měrou ovlivnily plnění celkových příjmů rozpočtu města</w:t>
      </w:r>
      <w:r w:rsidR="001E0067" w:rsidRPr="00C52F1D">
        <w:rPr>
          <w:b/>
          <w:bCs/>
          <w:u w:val="single"/>
        </w:rPr>
        <w:t xml:space="preserve"> v I. pololetí 20</w:t>
      </w:r>
      <w:r w:rsidR="001E0067">
        <w:rPr>
          <w:b/>
          <w:bCs/>
          <w:u w:val="single"/>
        </w:rPr>
        <w:t>1</w:t>
      </w:r>
      <w:r w:rsidR="007A3BC5">
        <w:rPr>
          <w:b/>
          <w:bCs/>
          <w:u w:val="single"/>
        </w:rPr>
        <w:t>6</w:t>
      </w:r>
      <w:r w:rsidR="001E0067" w:rsidRPr="00C52F1D">
        <w:rPr>
          <w:b/>
          <w:bCs/>
          <w:u w:val="single"/>
        </w:rPr>
        <w:t>.</w:t>
      </w:r>
      <w:r w:rsidR="001E0067">
        <w:t xml:space="preserve"> </w:t>
      </w:r>
    </w:p>
    <w:p w:rsidR="00C710B3" w:rsidRDefault="00C710B3" w:rsidP="007A7697">
      <w:pPr>
        <w:ind w:firstLine="708"/>
        <w:jc w:val="both"/>
      </w:pPr>
    </w:p>
    <w:p w:rsidR="001E0067" w:rsidRDefault="00FC7F98" w:rsidP="0003478A">
      <w:pPr>
        <w:ind w:firstLine="708"/>
        <w:jc w:val="both"/>
      </w:pPr>
      <w:r w:rsidRPr="00640A31">
        <w:t xml:space="preserve">Příjmová stránka kapitoly </w:t>
      </w:r>
      <w:r w:rsidR="00031BDA" w:rsidRPr="00640A31">
        <w:rPr>
          <w:b/>
          <w:bCs/>
        </w:rPr>
        <w:t xml:space="preserve">50 – </w:t>
      </w:r>
      <w:r w:rsidR="007A3BC5">
        <w:rPr>
          <w:b/>
          <w:bCs/>
        </w:rPr>
        <w:t>s</w:t>
      </w:r>
      <w:r w:rsidR="00031BDA" w:rsidRPr="00640A31">
        <w:rPr>
          <w:b/>
          <w:bCs/>
        </w:rPr>
        <w:t>práv</w:t>
      </w:r>
      <w:r w:rsidR="00BA7388" w:rsidRPr="00640A31">
        <w:rPr>
          <w:b/>
          <w:bCs/>
        </w:rPr>
        <w:t>a</w:t>
      </w:r>
      <w:r w:rsidR="00031BDA" w:rsidRPr="00640A31">
        <w:rPr>
          <w:b/>
          <w:bCs/>
        </w:rPr>
        <w:t xml:space="preserve"> </w:t>
      </w:r>
      <w:r w:rsidR="00FB29EC" w:rsidRPr="00640A31">
        <w:rPr>
          <w:b/>
          <w:bCs/>
        </w:rPr>
        <w:t xml:space="preserve">a nakládání s majetkem </w:t>
      </w:r>
      <w:r w:rsidR="00031BDA" w:rsidRPr="00640A31">
        <w:rPr>
          <w:b/>
          <w:bCs/>
        </w:rPr>
        <w:t>města</w:t>
      </w:r>
      <w:r w:rsidR="00E8178F" w:rsidRPr="00640A31">
        <w:t xml:space="preserve"> </w:t>
      </w:r>
      <w:r w:rsidRPr="00640A31">
        <w:t xml:space="preserve">vykazuje </w:t>
      </w:r>
      <w:r w:rsidR="00E8178F" w:rsidRPr="00640A31">
        <w:t xml:space="preserve">k 30.6. </w:t>
      </w:r>
      <w:proofErr w:type="gramStart"/>
      <w:r w:rsidR="00E8178F" w:rsidRPr="00640A31">
        <w:t>t.r.</w:t>
      </w:r>
      <w:proofErr w:type="gramEnd"/>
      <w:r w:rsidR="00E8178F" w:rsidRPr="00640A31">
        <w:t xml:space="preserve"> </w:t>
      </w:r>
      <w:r w:rsidR="00721A9B">
        <w:t xml:space="preserve">průběžné </w:t>
      </w:r>
      <w:r w:rsidR="00E8178F" w:rsidRPr="00640A31">
        <w:t xml:space="preserve">plnění vůči upravenému rozpočtu na </w:t>
      </w:r>
      <w:r w:rsidR="007A3BC5" w:rsidRPr="007A3BC5">
        <w:rPr>
          <w:b/>
        </w:rPr>
        <w:t>32,50</w:t>
      </w:r>
      <w:r w:rsidR="00E8178F" w:rsidRPr="00640A31">
        <w:rPr>
          <w:b/>
          <w:bCs/>
        </w:rPr>
        <w:t>%.</w:t>
      </w:r>
      <w:r w:rsidR="00E8178F" w:rsidRPr="00640A31">
        <w:t xml:space="preserve"> </w:t>
      </w:r>
      <w:r w:rsidR="004B7F0C" w:rsidRPr="00321795">
        <w:t>Položky zahrnující příjmy z pronájmu majetku jsou plněny v termínech vyplývajících z uzavřených smluv, takže většina z nich vykazuje za I. pololetí 2016 vysoké plnění, neboť převážná část smluv má jednorázovou úhradu v termínu do 31.3. Nižší plnění představuje skutečnost, že např. úhrada nájemného ze strany společnosti LMP, s.r.o., proběhne až ve II. pololetí (9.680 tis. Kč) a prozatím nebyly realizovány prodeje pozemků (5 mil. Kč). U většiny položek lze do konce roku očekávat jejich splnění; případné abnormality budou upraveny předložením ROZOP</w:t>
      </w:r>
      <w:r w:rsidR="004B7F0C">
        <w:t xml:space="preserve"> v průběhu II. pololetí</w:t>
      </w:r>
      <w:r w:rsidR="004B7F0C" w:rsidRPr="00321795">
        <w:t>.</w:t>
      </w:r>
      <w:r w:rsidR="004B7F0C">
        <w:t xml:space="preserve"> </w:t>
      </w:r>
      <w:r w:rsidR="00484CFA" w:rsidRPr="00B82746">
        <w:rPr>
          <w:b/>
          <w:bCs/>
          <w:u w:val="single"/>
        </w:rPr>
        <w:t xml:space="preserve">Příjmy kapitoly svým objemem (aktuální rozpočet = </w:t>
      </w:r>
      <w:r w:rsidR="00EB26F9">
        <w:rPr>
          <w:b/>
          <w:bCs/>
          <w:u w:val="single"/>
        </w:rPr>
        <w:t>30.922,57</w:t>
      </w:r>
      <w:r w:rsidR="00484CFA" w:rsidRPr="00B82746">
        <w:rPr>
          <w:b/>
          <w:bCs/>
          <w:u w:val="single"/>
        </w:rPr>
        <w:t xml:space="preserve"> tis. Kč; skutečnost = </w:t>
      </w:r>
      <w:r w:rsidR="00EB26F9">
        <w:rPr>
          <w:b/>
          <w:bCs/>
          <w:u w:val="single"/>
        </w:rPr>
        <w:t>10.050,32</w:t>
      </w:r>
      <w:r w:rsidR="00484CFA" w:rsidRPr="00B82746">
        <w:rPr>
          <w:b/>
          <w:bCs/>
          <w:u w:val="single"/>
        </w:rPr>
        <w:t xml:space="preserve"> tis. Kč) rozhodnou měrou ovlivnily plnění celkových příjmů rozpočtu města</w:t>
      </w:r>
      <w:r w:rsidR="00484CFA" w:rsidRPr="00C52F1D">
        <w:rPr>
          <w:b/>
          <w:bCs/>
          <w:u w:val="single"/>
        </w:rPr>
        <w:t xml:space="preserve"> v I. pololetí 20</w:t>
      </w:r>
      <w:r w:rsidR="00484CFA">
        <w:rPr>
          <w:b/>
          <w:bCs/>
          <w:u w:val="single"/>
        </w:rPr>
        <w:t>1</w:t>
      </w:r>
      <w:r w:rsidR="00EB26F9">
        <w:rPr>
          <w:b/>
          <w:bCs/>
          <w:u w:val="single"/>
        </w:rPr>
        <w:t>6</w:t>
      </w:r>
      <w:r w:rsidR="00484CFA" w:rsidRPr="00C52F1D">
        <w:rPr>
          <w:b/>
          <w:bCs/>
          <w:u w:val="single"/>
        </w:rPr>
        <w:t>.</w:t>
      </w:r>
    </w:p>
    <w:p w:rsidR="006A4AD1" w:rsidRDefault="006A4AD1" w:rsidP="0003478A">
      <w:pPr>
        <w:ind w:firstLine="708"/>
        <w:jc w:val="both"/>
      </w:pPr>
    </w:p>
    <w:p w:rsidR="00470840" w:rsidRDefault="00154CD0" w:rsidP="00785923">
      <w:pPr>
        <w:ind w:firstLine="708"/>
        <w:jc w:val="both"/>
        <w:rPr>
          <w:b/>
          <w:bCs/>
          <w:u w:val="single"/>
        </w:rPr>
      </w:pPr>
      <w:r>
        <w:t>Průběžné plnění</w:t>
      </w:r>
      <w:r w:rsidR="00721A9B">
        <w:t xml:space="preserve"> </w:t>
      </w:r>
      <w:r w:rsidR="00B82746">
        <w:t xml:space="preserve">rozpočtových </w:t>
      </w:r>
      <w:r w:rsidR="00C0548F" w:rsidRPr="00C52F1D">
        <w:t xml:space="preserve">příjmů kapitoly </w:t>
      </w:r>
      <w:r w:rsidR="00CD3B74">
        <w:rPr>
          <w:b/>
          <w:bCs/>
        </w:rPr>
        <w:t xml:space="preserve">70 - </w:t>
      </w:r>
      <w:r w:rsidR="005D1C07">
        <w:rPr>
          <w:b/>
          <w:bCs/>
        </w:rPr>
        <w:t>f</w:t>
      </w:r>
      <w:r w:rsidR="00CD3B74">
        <w:rPr>
          <w:b/>
          <w:bCs/>
        </w:rPr>
        <w:t>inanční</w:t>
      </w:r>
      <w:r w:rsidR="00C0548F" w:rsidRPr="00C52F1D">
        <w:t xml:space="preserve"> </w:t>
      </w:r>
      <w:r w:rsidR="00C0548F">
        <w:t>v I. pololetí 20</w:t>
      </w:r>
      <w:r w:rsidR="00CD3B74">
        <w:t>1</w:t>
      </w:r>
      <w:r w:rsidR="00EB26F9">
        <w:t>6</w:t>
      </w:r>
      <w:r w:rsidR="00C0548F" w:rsidRPr="00C52F1D">
        <w:t xml:space="preserve"> </w:t>
      </w:r>
      <w:r w:rsidR="00C0548F" w:rsidRPr="00C52F1D">
        <w:rPr>
          <w:b/>
          <w:bCs/>
        </w:rPr>
        <w:t>(</w:t>
      </w:r>
      <w:r w:rsidR="00EB26F9">
        <w:rPr>
          <w:b/>
          <w:bCs/>
        </w:rPr>
        <w:t>53,46</w:t>
      </w:r>
      <w:r w:rsidR="00C0548F" w:rsidRPr="00C52F1D">
        <w:rPr>
          <w:b/>
          <w:bCs/>
        </w:rPr>
        <w:t>%)</w:t>
      </w:r>
      <w:r w:rsidR="00C0548F" w:rsidRPr="00C52F1D">
        <w:t xml:space="preserve"> </w:t>
      </w:r>
      <w:r w:rsidR="00C0548F">
        <w:t xml:space="preserve">zásadním způsobem </w:t>
      </w:r>
      <w:r w:rsidR="00B95502">
        <w:t xml:space="preserve">ovlivňuje poplatek za </w:t>
      </w:r>
      <w:r w:rsidR="007D1397">
        <w:t>provoz systému shromažďování, sběru, přepravy, třídění, využívání a odstraňování komunálních odpadů</w:t>
      </w:r>
      <w:r w:rsidR="00B95502">
        <w:t xml:space="preserve">, který byl splatný </w:t>
      </w:r>
      <w:r w:rsidR="00B82746">
        <w:t>k</w:t>
      </w:r>
      <w:r w:rsidR="00B95502">
        <w:t xml:space="preserve"> 30.6. Skutečnost vykázala hodnotu </w:t>
      </w:r>
      <w:r w:rsidR="00EB26F9">
        <w:t>20,84</w:t>
      </w:r>
      <w:r w:rsidR="00B95502">
        <w:t xml:space="preserve"> mil. Kč vůči rozpočtovaným </w:t>
      </w:r>
      <w:r w:rsidR="006A4AD1">
        <w:t>23</w:t>
      </w:r>
      <w:r w:rsidR="00484CFA">
        <w:t>,5</w:t>
      </w:r>
      <w:r w:rsidR="00B95502">
        <w:t xml:space="preserve"> mil. Kč. </w:t>
      </w:r>
      <w:r w:rsidR="00D7518D">
        <w:t>V</w:t>
      </w:r>
      <w:r w:rsidR="00B95502">
        <w:t xml:space="preserve">e II. pololetí budou nabíhat pouze vymožené pohledávky. </w:t>
      </w:r>
      <w:r w:rsidR="00480F4D">
        <w:t xml:space="preserve">Sdílené daně </w:t>
      </w:r>
      <w:r w:rsidR="007D1397">
        <w:t>a daň z</w:t>
      </w:r>
      <w:r w:rsidR="007B1B5E">
        <w:t> nemovitých věcí</w:t>
      </w:r>
      <w:r w:rsidR="007D1397">
        <w:t xml:space="preserve"> jsou plněny v souhrnu na </w:t>
      </w:r>
      <w:r w:rsidR="00DC67F3">
        <w:t>50,04</w:t>
      </w:r>
      <w:r w:rsidR="007D1397">
        <w:t>%</w:t>
      </w:r>
      <w:r w:rsidR="00DC67F3">
        <w:t>, což je v podstatě ideálních 50% k pololetí roku 2016</w:t>
      </w:r>
      <w:r w:rsidR="007D1397">
        <w:t xml:space="preserve">. Přehled </w:t>
      </w:r>
      <w:r w:rsidR="007B1B5E">
        <w:t xml:space="preserve">zmíněné </w:t>
      </w:r>
      <w:r w:rsidR="007D1397">
        <w:t>daňové výtěžnosti je uveden v samostatné kapitole dále v</w:t>
      </w:r>
      <w:r w:rsidR="007B1B5E">
        <w:t> </w:t>
      </w:r>
      <w:r w:rsidR="007D1397">
        <w:t>textu</w:t>
      </w:r>
      <w:r w:rsidR="007B1B5E">
        <w:t>, viz</w:t>
      </w:r>
      <w:r w:rsidR="007D1397">
        <w:t xml:space="preserve"> „Inkaso daní za období </w:t>
      </w:r>
      <w:r w:rsidR="00484CFA">
        <w:t>1/201</w:t>
      </w:r>
      <w:r w:rsidR="00DC67F3">
        <w:t>6</w:t>
      </w:r>
      <w:r w:rsidR="00484CFA">
        <w:t xml:space="preserve"> – 6/201</w:t>
      </w:r>
      <w:r w:rsidR="00DC67F3">
        <w:t>6</w:t>
      </w:r>
      <w:r w:rsidR="007B1B5E">
        <w:t>“</w:t>
      </w:r>
      <w:r w:rsidR="007D1397">
        <w:t>.</w:t>
      </w:r>
      <w:r w:rsidR="007B1B5E">
        <w:t xml:space="preserve"> Daň z příjmu právnických osob placená obcí je plněna na </w:t>
      </w:r>
      <w:r w:rsidR="00DC67F3">
        <w:t>94,94</w:t>
      </w:r>
      <w:r w:rsidR="007B1B5E">
        <w:t>% (rozpočet: 2</w:t>
      </w:r>
      <w:r w:rsidR="00DC67F3">
        <w:t>4</w:t>
      </w:r>
      <w:r w:rsidR="007B1B5E">
        <w:t xml:space="preserve"> mil. Kč; skutečnost: </w:t>
      </w:r>
      <w:r w:rsidR="00DC67F3">
        <w:t>22,79</w:t>
      </w:r>
      <w:r w:rsidR="007B1B5E">
        <w:t xml:space="preserve"> mil. Kč; obec je </w:t>
      </w:r>
      <w:r w:rsidR="00484CFA">
        <w:t xml:space="preserve">však </w:t>
      </w:r>
      <w:r w:rsidR="007B1B5E">
        <w:t>jak plátcem, tak i příjemcem této daně</w:t>
      </w:r>
      <w:r w:rsidR="00DC67F3">
        <w:t>; stejné částky proúčtované v příjmech i výdajích kapitoly</w:t>
      </w:r>
      <w:r w:rsidR="007B1B5E">
        <w:t>).</w:t>
      </w:r>
      <w:r w:rsidR="00DC67F3">
        <w:t xml:space="preserve"> Dále příjmy kapitoly ovlivňuje položka odvodů v VHP, která je k </w:t>
      </w:r>
      <w:proofErr w:type="gramStart"/>
      <w:r w:rsidR="00DC67F3">
        <w:t>30.6. plněna</w:t>
      </w:r>
      <w:proofErr w:type="gramEnd"/>
      <w:r w:rsidR="00DC67F3">
        <w:t xml:space="preserve"> na 53,31% (rozpočet: 46,5 mil. Kč; skutečnost 24,79 mil. Kč).</w:t>
      </w:r>
      <w:r w:rsidR="007B1B5E">
        <w:t xml:space="preserve"> </w:t>
      </w:r>
      <w:r w:rsidR="007D1397">
        <w:rPr>
          <w:b/>
          <w:bCs/>
          <w:u w:val="single"/>
        </w:rPr>
        <w:t>Příjmy</w:t>
      </w:r>
      <w:r w:rsidR="007D1397" w:rsidRPr="00C52F1D">
        <w:rPr>
          <w:b/>
          <w:bCs/>
          <w:u w:val="single"/>
        </w:rPr>
        <w:t xml:space="preserve"> kapitoly svým objemem (aktuální rozpočet = </w:t>
      </w:r>
      <w:r w:rsidR="00DC67F3">
        <w:rPr>
          <w:b/>
          <w:bCs/>
          <w:u w:val="single"/>
        </w:rPr>
        <w:t>644.021,43</w:t>
      </w:r>
      <w:r w:rsidR="007D1397" w:rsidRPr="00C52F1D">
        <w:rPr>
          <w:b/>
          <w:bCs/>
          <w:u w:val="single"/>
        </w:rPr>
        <w:t xml:space="preserve"> tis. Kč; skutečnost = </w:t>
      </w:r>
      <w:r w:rsidR="00DC67F3">
        <w:rPr>
          <w:b/>
          <w:bCs/>
          <w:u w:val="single"/>
        </w:rPr>
        <w:t>344.323,18</w:t>
      </w:r>
      <w:r w:rsidR="007D1397" w:rsidRPr="00C52F1D">
        <w:rPr>
          <w:b/>
          <w:bCs/>
          <w:u w:val="single"/>
        </w:rPr>
        <w:t xml:space="preserve"> tis. Kč) rozhodnou měrou ovlivnily plnění celkových </w:t>
      </w:r>
      <w:r w:rsidR="007D1397">
        <w:rPr>
          <w:b/>
          <w:bCs/>
          <w:u w:val="single"/>
        </w:rPr>
        <w:t>příjmů</w:t>
      </w:r>
      <w:r w:rsidR="007D1397" w:rsidRPr="00C52F1D">
        <w:rPr>
          <w:b/>
          <w:bCs/>
          <w:u w:val="single"/>
        </w:rPr>
        <w:t xml:space="preserve"> rozpočtu města v I. pololetí 20</w:t>
      </w:r>
      <w:r w:rsidR="007D1397">
        <w:rPr>
          <w:b/>
          <w:bCs/>
          <w:u w:val="single"/>
        </w:rPr>
        <w:t>1</w:t>
      </w:r>
      <w:r w:rsidR="00DC67F3">
        <w:rPr>
          <w:b/>
          <w:bCs/>
          <w:u w:val="single"/>
        </w:rPr>
        <w:t>6</w:t>
      </w:r>
      <w:r w:rsidR="007D1397" w:rsidRPr="00C52F1D">
        <w:rPr>
          <w:b/>
          <w:bCs/>
          <w:u w:val="single"/>
        </w:rPr>
        <w:t>.</w:t>
      </w:r>
    </w:p>
    <w:p w:rsidR="00CB43E4" w:rsidRDefault="00CB43E4" w:rsidP="00785923">
      <w:pPr>
        <w:ind w:firstLine="708"/>
        <w:jc w:val="both"/>
        <w:rPr>
          <w:b/>
          <w:bCs/>
          <w:u w:val="single"/>
        </w:rPr>
      </w:pPr>
    </w:p>
    <w:p w:rsidR="005064F0" w:rsidRDefault="00CB43E4" w:rsidP="005064F0">
      <w:pPr>
        <w:ind w:firstLine="708"/>
        <w:jc w:val="both"/>
        <w:rPr>
          <w:b/>
          <w:bCs/>
          <w:u w:val="single"/>
        </w:rPr>
      </w:pPr>
      <w:r w:rsidRPr="00640A31">
        <w:t xml:space="preserve">Příjmová stránka kapitoly </w:t>
      </w:r>
      <w:r>
        <w:rPr>
          <w:b/>
        </w:rPr>
        <w:t>9</w:t>
      </w:r>
      <w:r w:rsidRPr="00640A31">
        <w:rPr>
          <w:b/>
          <w:bCs/>
        </w:rPr>
        <w:t xml:space="preserve">0 – </w:t>
      </w:r>
      <w:r>
        <w:rPr>
          <w:b/>
          <w:bCs/>
        </w:rPr>
        <w:t>s</w:t>
      </w:r>
      <w:r w:rsidRPr="00640A31">
        <w:rPr>
          <w:b/>
          <w:bCs/>
        </w:rPr>
        <w:t xml:space="preserve">práva a </w:t>
      </w:r>
      <w:r>
        <w:rPr>
          <w:b/>
          <w:bCs/>
        </w:rPr>
        <w:t>údržba majetku města</w:t>
      </w:r>
      <w:r w:rsidRPr="00640A31">
        <w:t xml:space="preserve"> vykazuje k 30.6. </w:t>
      </w:r>
      <w:proofErr w:type="gramStart"/>
      <w:r w:rsidRPr="00640A31">
        <w:t>t.r.</w:t>
      </w:r>
      <w:proofErr w:type="gramEnd"/>
      <w:r w:rsidRPr="00640A31">
        <w:t xml:space="preserve"> </w:t>
      </w:r>
      <w:r>
        <w:t xml:space="preserve">průběžné </w:t>
      </w:r>
      <w:r w:rsidRPr="00640A31">
        <w:t xml:space="preserve">plnění vůči upravenému rozpočtu na </w:t>
      </w:r>
      <w:r>
        <w:rPr>
          <w:b/>
        </w:rPr>
        <w:t>47,82</w:t>
      </w:r>
      <w:r w:rsidRPr="00640A31">
        <w:rPr>
          <w:b/>
          <w:bCs/>
        </w:rPr>
        <w:t>%.</w:t>
      </w:r>
      <w:r w:rsidR="00AA0E35">
        <w:rPr>
          <w:b/>
          <w:bCs/>
        </w:rPr>
        <w:t xml:space="preserve"> </w:t>
      </w:r>
      <w:r w:rsidR="00AA0E35">
        <w:t>Příjmy jsou plněny průběžně. Negativně se projevují dlouhodobé dluhy na nájemném z bytů a za úhrady za poskytované služby spojené s bydlením. S ohledem na tuto skutečnost není předpoklad splnění plánovaných příjmů kapitoly ke konci roku 2016.</w:t>
      </w:r>
      <w:r w:rsidR="005064F0">
        <w:t xml:space="preserve"> </w:t>
      </w:r>
      <w:r w:rsidR="005064F0">
        <w:rPr>
          <w:b/>
          <w:bCs/>
          <w:u w:val="single"/>
        </w:rPr>
        <w:t>Příjmy</w:t>
      </w:r>
      <w:r w:rsidR="005064F0" w:rsidRPr="00C52F1D">
        <w:rPr>
          <w:b/>
          <w:bCs/>
          <w:u w:val="single"/>
        </w:rPr>
        <w:t xml:space="preserve"> kapitoly svým objemem (aktuální rozpočet = </w:t>
      </w:r>
      <w:r w:rsidR="005064F0">
        <w:rPr>
          <w:b/>
          <w:bCs/>
          <w:u w:val="single"/>
        </w:rPr>
        <w:t>67.080,58</w:t>
      </w:r>
      <w:r w:rsidR="005064F0" w:rsidRPr="00C52F1D">
        <w:rPr>
          <w:b/>
          <w:bCs/>
          <w:u w:val="single"/>
        </w:rPr>
        <w:t xml:space="preserve"> tis. Kč; skutečnost = </w:t>
      </w:r>
      <w:r w:rsidR="005064F0">
        <w:rPr>
          <w:b/>
          <w:bCs/>
          <w:u w:val="single"/>
        </w:rPr>
        <w:t>32.076,65</w:t>
      </w:r>
      <w:r w:rsidR="005064F0" w:rsidRPr="00C52F1D">
        <w:rPr>
          <w:b/>
          <w:bCs/>
          <w:u w:val="single"/>
        </w:rPr>
        <w:t xml:space="preserve"> tis. Kč) rozhodnou měrou ovlivnily plnění celkových </w:t>
      </w:r>
      <w:r w:rsidR="005064F0">
        <w:rPr>
          <w:b/>
          <w:bCs/>
          <w:u w:val="single"/>
        </w:rPr>
        <w:t>příjmů</w:t>
      </w:r>
      <w:r w:rsidR="005064F0" w:rsidRPr="00C52F1D">
        <w:rPr>
          <w:b/>
          <w:bCs/>
          <w:u w:val="single"/>
        </w:rPr>
        <w:t xml:space="preserve"> rozpočtu města v I. pololetí 20</w:t>
      </w:r>
      <w:r w:rsidR="005064F0">
        <w:rPr>
          <w:b/>
          <w:bCs/>
          <w:u w:val="single"/>
        </w:rPr>
        <w:t>16</w:t>
      </w:r>
      <w:r w:rsidR="005064F0" w:rsidRPr="00C52F1D">
        <w:rPr>
          <w:b/>
          <w:bCs/>
          <w:u w:val="single"/>
        </w:rPr>
        <w:t>.</w:t>
      </w:r>
    </w:p>
    <w:p w:rsidR="007D1397" w:rsidRPr="00CD790B" w:rsidRDefault="007D1397" w:rsidP="00480F4D">
      <w:pPr>
        <w:ind w:firstLine="708"/>
        <w:jc w:val="both"/>
      </w:pPr>
    </w:p>
    <w:p w:rsidR="00B41335" w:rsidRDefault="00A267D5" w:rsidP="00EC19BF">
      <w:pPr>
        <w:ind w:firstLine="708"/>
        <w:jc w:val="both"/>
      </w:pPr>
      <w:r w:rsidRPr="00C52F1D">
        <w:t xml:space="preserve">K dané výši </w:t>
      </w:r>
      <w:r w:rsidR="00721A9B">
        <w:t xml:space="preserve">průběžných </w:t>
      </w:r>
      <w:r w:rsidR="00480F4D">
        <w:t xml:space="preserve">rozpočtových </w:t>
      </w:r>
      <w:r w:rsidRPr="00C52F1D">
        <w:t xml:space="preserve">příjmů města byly ve sledovaném období </w:t>
      </w:r>
      <w:r w:rsidR="00154CD0">
        <w:t>průběžně čerpány</w:t>
      </w:r>
      <w:r w:rsidRPr="00C52F1D">
        <w:t xml:space="preserve"> a vykázány nižší </w:t>
      </w:r>
      <w:r w:rsidR="00480F4D">
        <w:t xml:space="preserve">rozpočtové </w:t>
      </w:r>
      <w:r w:rsidRPr="00C52F1D">
        <w:t xml:space="preserve">výdaje, než </w:t>
      </w:r>
      <w:r w:rsidR="00BD6A39" w:rsidRPr="00C52F1D">
        <w:t>pololetně</w:t>
      </w:r>
      <w:r w:rsidR="00FB0BDE">
        <w:t xml:space="preserve"> teoreticky</w:t>
      </w:r>
      <w:r w:rsidRPr="00C52F1D">
        <w:t xml:space="preserve"> optimálních 50%. Čerpání </w:t>
      </w:r>
      <w:r w:rsidR="00721A9B">
        <w:t xml:space="preserve">průběžných </w:t>
      </w:r>
      <w:r w:rsidRPr="00C52F1D">
        <w:t>výdajů rozpočtu města</w:t>
      </w:r>
      <w:r w:rsidR="00B41335">
        <w:t xml:space="preserve"> v konsolidované podobě</w:t>
      </w:r>
      <w:r w:rsidRPr="00C52F1D">
        <w:t xml:space="preserve"> (</w:t>
      </w:r>
      <w:r w:rsidRPr="00C52F1D">
        <w:rPr>
          <w:b/>
          <w:bCs/>
        </w:rPr>
        <w:t xml:space="preserve">aktuální rozpočet: </w:t>
      </w:r>
      <w:r w:rsidR="005D1C07">
        <w:rPr>
          <w:b/>
          <w:bCs/>
        </w:rPr>
        <w:t>949.730,664</w:t>
      </w:r>
      <w:r w:rsidRPr="00C52F1D">
        <w:rPr>
          <w:b/>
          <w:bCs/>
        </w:rPr>
        <w:t xml:space="preserve"> Kč; skutečnost: </w:t>
      </w:r>
      <w:r w:rsidR="005D1C07">
        <w:rPr>
          <w:b/>
          <w:bCs/>
        </w:rPr>
        <w:t>331.246.382,82</w:t>
      </w:r>
      <w:r w:rsidRPr="00C52F1D">
        <w:rPr>
          <w:b/>
          <w:bCs/>
        </w:rPr>
        <w:t xml:space="preserve"> Kč; </w:t>
      </w:r>
      <w:r w:rsidR="00721A9B">
        <w:rPr>
          <w:b/>
          <w:bCs/>
        </w:rPr>
        <w:t>čerpání</w:t>
      </w:r>
      <w:r w:rsidRPr="00C52F1D">
        <w:rPr>
          <w:b/>
          <w:bCs/>
        </w:rPr>
        <w:t xml:space="preserve">: </w:t>
      </w:r>
      <w:r w:rsidR="005D1C07">
        <w:rPr>
          <w:b/>
          <w:bCs/>
        </w:rPr>
        <w:t>38,77</w:t>
      </w:r>
      <w:r w:rsidRPr="00C52F1D">
        <w:rPr>
          <w:b/>
          <w:bCs/>
        </w:rPr>
        <w:t>%</w:t>
      </w:r>
      <w:r w:rsidR="00470840">
        <w:t>) ovlivnila</w:t>
      </w:r>
      <w:r w:rsidRPr="00C52F1D">
        <w:t xml:space="preserve"> svým </w:t>
      </w:r>
      <w:r w:rsidR="00470840">
        <w:t xml:space="preserve">finančním </w:t>
      </w:r>
      <w:r w:rsidRPr="00C52F1D">
        <w:t>objemem zejména kap</w:t>
      </w:r>
      <w:r w:rsidR="00470840">
        <w:t xml:space="preserve">itola </w:t>
      </w:r>
      <w:r w:rsidRPr="00C52F1D">
        <w:t>1</w:t>
      </w:r>
      <w:r w:rsidR="00D20D64" w:rsidRPr="00C52F1D">
        <w:t>4</w:t>
      </w:r>
      <w:r w:rsidRPr="00C52F1D">
        <w:t xml:space="preserve"> </w:t>
      </w:r>
      <w:r w:rsidR="00FB0BDE">
        <w:t>–</w:t>
      </w:r>
      <w:r w:rsidR="00B41335">
        <w:t xml:space="preserve"> </w:t>
      </w:r>
      <w:r w:rsidR="005D1C07">
        <w:t>k</w:t>
      </w:r>
      <w:r w:rsidR="00FB0BDE">
        <w:t>ancelář tajemníka</w:t>
      </w:r>
      <w:r w:rsidRPr="00C52F1D">
        <w:t>,</w:t>
      </w:r>
      <w:r w:rsidR="00285DC6">
        <w:t xml:space="preserve"> </w:t>
      </w:r>
      <w:r w:rsidR="00636DF7">
        <w:t xml:space="preserve">kapitola 20 – </w:t>
      </w:r>
      <w:r w:rsidR="005D1C07">
        <w:t>š</w:t>
      </w:r>
      <w:r w:rsidR="00636DF7">
        <w:t xml:space="preserve">kolství, kultura a sport, </w:t>
      </w:r>
      <w:r w:rsidR="00D23874" w:rsidRPr="00C52F1D">
        <w:t xml:space="preserve">kapitola </w:t>
      </w:r>
      <w:r w:rsidR="00FB0BDE">
        <w:t xml:space="preserve">50 – </w:t>
      </w:r>
      <w:r w:rsidR="005D1C07">
        <w:t>s</w:t>
      </w:r>
      <w:r w:rsidR="00FB0BDE">
        <w:t>práva a nakládání s</w:t>
      </w:r>
      <w:r w:rsidR="00636DF7">
        <w:t> </w:t>
      </w:r>
      <w:r w:rsidR="00FB0BDE">
        <w:t>majetkem</w:t>
      </w:r>
      <w:r w:rsidR="00636DF7">
        <w:t xml:space="preserve"> města</w:t>
      </w:r>
      <w:r w:rsidR="00D23874" w:rsidRPr="00C52F1D">
        <w:t>,</w:t>
      </w:r>
      <w:r w:rsidR="00D20D64" w:rsidRPr="00C52F1D">
        <w:t xml:space="preserve"> </w:t>
      </w:r>
      <w:r w:rsidRPr="00C52F1D">
        <w:t>kap</w:t>
      </w:r>
      <w:r w:rsidR="00D43A15" w:rsidRPr="00C52F1D">
        <w:t>itola</w:t>
      </w:r>
      <w:r w:rsidRPr="00C52F1D">
        <w:t xml:space="preserve"> 60 </w:t>
      </w:r>
      <w:r w:rsidR="00B41335">
        <w:t xml:space="preserve">- </w:t>
      </w:r>
      <w:r w:rsidR="005D1C07">
        <w:t>r</w:t>
      </w:r>
      <w:r w:rsidR="00D20D64" w:rsidRPr="00C52F1D">
        <w:t>ozvoj a investice</w:t>
      </w:r>
      <w:r w:rsidRPr="00C52F1D">
        <w:t>,</w:t>
      </w:r>
      <w:r w:rsidR="00636DF7">
        <w:t xml:space="preserve"> kapitola</w:t>
      </w:r>
      <w:r w:rsidRPr="00C52F1D">
        <w:t xml:space="preserve"> </w:t>
      </w:r>
      <w:r w:rsidR="00B41335">
        <w:t xml:space="preserve">70 – </w:t>
      </w:r>
      <w:r w:rsidR="005D1C07">
        <w:t>f</w:t>
      </w:r>
      <w:r w:rsidR="00B41335">
        <w:t>inanční</w:t>
      </w:r>
      <w:r w:rsidR="00FB0BDE">
        <w:t xml:space="preserve"> a</w:t>
      </w:r>
      <w:r w:rsidR="00B41335">
        <w:t xml:space="preserve"> </w:t>
      </w:r>
      <w:r w:rsidRPr="00C52F1D">
        <w:t>kap</w:t>
      </w:r>
      <w:r w:rsidR="00D43A15" w:rsidRPr="00C52F1D">
        <w:t>itola</w:t>
      </w:r>
      <w:r w:rsidRPr="00C52F1D">
        <w:t xml:space="preserve"> 90 </w:t>
      </w:r>
      <w:r w:rsidR="00FB0BDE">
        <w:t>–</w:t>
      </w:r>
      <w:r w:rsidR="00B41335">
        <w:t xml:space="preserve"> </w:t>
      </w:r>
      <w:r w:rsidR="005D1C07">
        <w:t>s</w:t>
      </w:r>
      <w:r w:rsidR="00FB0BDE">
        <w:t>práva a údržba majetku města</w:t>
      </w:r>
      <w:r w:rsidR="00B41335">
        <w:t>.</w:t>
      </w:r>
      <w:r w:rsidR="00D23874" w:rsidRPr="00C52F1D">
        <w:t xml:space="preserve"> </w:t>
      </w:r>
    </w:p>
    <w:p w:rsidR="00BA1A9D" w:rsidRDefault="00BA1A9D" w:rsidP="00EC19BF">
      <w:pPr>
        <w:ind w:firstLine="708"/>
        <w:jc w:val="both"/>
      </w:pPr>
    </w:p>
    <w:p w:rsidR="00D20D64" w:rsidRDefault="00D43A15" w:rsidP="00EC19BF">
      <w:pPr>
        <w:ind w:firstLine="708"/>
        <w:jc w:val="both"/>
        <w:rPr>
          <w:b/>
          <w:bCs/>
          <w:u w:val="single"/>
        </w:rPr>
      </w:pPr>
      <w:r w:rsidRPr="00C52F1D">
        <w:t>U kapitoly</w:t>
      </w:r>
      <w:r w:rsidR="00A267D5" w:rsidRPr="00C52F1D">
        <w:t xml:space="preserve"> </w:t>
      </w:r>
      <w:r w:rsidR="00A267D5" w:rsidRPr="001B1D99">
        <w:rPr>
          <w:b/>
          <w:bCs/>
        </w:rPr>
        <w:t>1</w:t>
      </w:r>
      <w:r w:rsidR="00D20D64" w:rsidRPr="001B1D99">
        <w:rPr>
          <w:b/>
          <w:bCs/>
        </w:rPr>
        <w:t>4</w:t>
      </w:r>
      <w:r w:rsidR="001B1D99" w:rsidRPr="001B1D99">
        <w:rPr>
          <w:b/>
          <w:bCs/>
        </w:rPr>
        <w:t xml:space="preserve"> – </w:t>
      </w:r>
      <w:r w:rsidR="005D1C07">
        <w:rPr>
          <w:b/>
          <w:bCs/>
        </w:rPr>
        <w:t>k</w:t>
      </w:r>
      <w:r w:rsidR="004F4D99">
        <w:rPr>
          <w:b/>
          <w:bCs/>
        </w:rPr>
        <w:t>ancelář tajemníka</w:t>
      </w:r>
      <w:r w:rsidR="00A267D5" w:rsidRPr="00C52F1D">
        <w:t xml:space="preserve"> </w:t>
      </w:r>
      <w:r w:rsidR="00A267D5" w:rsidRPr="00C52F1D">
        <w:rPr>
          <w:b/>
          <w:bCs/>
        </w:rPr>
        <w:t>(</w:t>
      </w:r>
      <w:r w:rsidR="005D1C07">
        <w:rPr>
          <w:b/>
          <w:bCs/>
        </w:rPr>
        <w:t>35,7</w:t>
      </w:r>
      <w:r w:rsidR="00A267D5" w:rsidRPr="00C52F1D">
        <w:rPr>
          <w:b/>
          <w:bCs/>
        </w:rPr>
        <w:t>%)</w:t>
      </w:r>
      <w:r w:rsidR="00A267D5" w:rsidRPr="00C52F1D">
        <w:t xml:space="preserve"> </w:t>
      </w:r>
      <w:r w:rsidR="00723E6C" w:rsidRPr="00C52F1D">
        <w:rPr>
          <w:color w:val="000000"/>
        </w:rPr>
        <w:t>je</w:t>
      </w:r>
      <w:r w:rsidRPr="00C52F1D">
        <w:rPr>
          <w:color w:val="000000"/>
        </w:rPr>
        <w:t xml:space="preserve"> </w:t>
      </w:r>
      <w:r w:rsidR="00723E6C" w:rsidRPr="00C52F1D">
        <w:rPr>
          <w:color w:val="000000"/>
        </w:rPr>
        <w:t xml:space="preserve">celkový vývoj </w:t>
      </w:r>
      <w:r w:rsidR="00721A9B">
        <w:rPr>
          <w:color w:val="000000"/>
        </w:rPr>
        <w:t xml:space="preserve">průběžného </w:t>
      </w:r>
      <w:r w:rsidR="00723E6C" w:rsidRPr="00C52F1D">
        <w:rPr>
          <w:color w:val="000000"/>
        </w:rPr>
        <w:t xml:space="preserve">čerpání výdajů ve sledovaném </w:t>
      </w:r>
      <w:r w:rsidR="00D20D64" w:rsidRPr="00C52F1D">
        <w:rPr>
          <w:color w:val="000000"/>
        </w:rPr>
        <w:t xml:space="preserve">období </w:t>
      </w:r>
      <w:r w:rsidR="00D20D64" w:rsidRPr="00C52F1D">
        <w:t xml:space="preserve">ovlivněn zejména </w:t>
      </w:r>
      <w:r w:rsidR="00D7518D">
        <w:t>zaúčtováním</w:t>
      </w:r>
      <w:r w:rsidR="00D20D64" w:rsidRPr="00C52F1D">
        <w:t xml:space="preserve"> </w:t>
      </w:r>
      <w:r w:rsidR="003205EB">
        <w:t>výdajů na platy, ostatní platby za provedenou práci</w:t>
      </w:r>
      <w:r w:rsidR="005D1C07">
        <w:t>, zákonného pojistného</w:t>
      </w:r>
      <w:r w:rsidR="003205EB" w:rsidRPr="00C50B32">
        <w:t xml:space="preserve"> </w:t>
      </w:r>
      <w:r w:rsidR="00D20D64" w:rsidRPr="00C52F1D">
        <w:t xml:space="preserve">a příspěvku na ošacení za měsíc červen až v měsíci červenci (výplatní termín </w:t>
      </w:r>
      <w:r w:rsidR="005D1C07">
        <w:t>7/2016</w:t>
      </w:r>
      <w:r w:rsidR="00D20D64" w:rsidRPr="00C52F1D">
        <w:t>).</w:t>
      </w:r>
      <w:r w:rsidR="00BA1A9D">
        <w:t xml:space="preserve"> K </w:t>
      </w:r>
      <w:proofErr w:type="gramStart"/>
      <w:r w:rsidR="00BA1A9D">
        <w:t>30.6.201</w:t>
      </w:r>
      <w:r w:rsidR="005D1C07">
        <w:t>6</w:t>
      </w:r>
      <w:proofErr w:type="gramEnd"/>
      <w:r w:rsidR="00BA1A9D">
        <w:t xml:space="preserve"> nejsou výše uvedené výdaje v plnění rozpočtu zohledněny.</w:t>
      </w:r>
      <w:r w:rsidR="005D1C07">
        <w:t xml:space="preserve"> Další měrou se na čerpání výdajů podílely přijaté transfery. Ke konci roku je předpoklad čerpání kapitoly v intencích upraveného rozpočtu kapitoly.</w:t>
      </w:r>
      <w:r w:rsidR="00944BD6" w:rsidRPr="00944BD6">
        <w:rPr>
          <w:b/>
          <w:bCs/>
          <w:u w:val="single"/>
        </w:rPr>
        <w:t xml:space="preserve"> </w:t>
      </w:r>
      <w:r w:rsidR="00944BD6" w:rsidRPr="00C52F1D">
        <w:rPr>
          <w:b/>
          <w:bCs/>
          <w:u w:val="single"/>
        </w:rPr>
        <w:t xml:space="preserve">Výdaje kapitoly svým objemem (aktuální rozpočet = </w:t>
      </w:r>
      <w:r w:rsidR="005D1C07">
        <w:rPr>
          <w:b/>
          <w:bCs/>
          <w:u w:val="single"/>
        </w:rPr>
        <w:t>167.096,97</w:t>
      </w:r>
      <w:r w:rsidR="00944BD6" w:rsidRPr="00C52F1D">
        <w:rPr>
          <w:b/>
          <w:bCs/>
          <w:u w:val="single"/>
        </w:rPr>
        <w:t xml:space="preserve"> tis. Kč; skutečnost = </w:t>
      </w:r>
      <w:r w:rsidR="005D1C07">
        <w:rPr>
          <w:b/>
          <w:bCs/>
          <w:u w:val="single"/>
        </w:rPr>
        <w:t>59.655,28</w:t>
      </w:r>
      <w:r w:rsidR="00944BD6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0493">
        <w:rPr>
          <w:b/>
          <w:bCs/>
          <w:u w:val="single"/>
        </w:rPr>
        <w:t>1</w:t>
      </w:r>
      <w:r w:rsidR="005D1C07">
        <w:rPr>
          <w:b/>
          <w:bCs/>
          <w:u w:val="single"/>
        </w:rPr>
        <w:t>6</w:t>
      </w:r>
      <w:r w:rsidR="00944BD6" w:rsidRPr="00C52F1D">
        <w:rPr>
          <w:b/>
          <w:bCs/>
          <w:u w:val="single"/>
        </w:rPr>
        <w:t>.</w:t>
      </w:r>
    </w:p>
    <w:p w:rsidR="00AD41DD" w:rsidRPr="00C52F1D" w:rsidRDefault="00AD41DD" w:rsidP="00EC19BF">
      <w:pPr>
        <w:ind w:firstLine="708"/>
        <w:jc w:val="both"/>
      </w:pPr>
    </w:p>
    <w:p w:rsidR="00CE08D2" w:rsidRDefault="007A16C0" w:rsidP="00785923">
      <w:pPr>
        <w:ind w:firstLine="708"/>
        <w:jc w:val="both"/>
        <w:rPr>
          <w:b/>
          <w:bCs/>
          <w:u w:val="single"/>
        </w:rPr>
      </w:pPr>
      <w:r w:rsidRPr="00C52F1D">
        <w:t xml:space="preserve">Vyšší </w:t>
      </w:r>
      <w:r w:rsidR="009D70D4">
        <w:t xml:space="preserve">průběžné </w:t>
      </w:r>
      <w:r w:rsidRPr="00C52F1D">
        <w:t xml:space="preserve">čerpání výdajů u kapitoly </w:t>
      </w:r>
      <w:r w:rsidRPr="001B1D99">
        <w:rPr>
          <w:b/>
          <w:bCs/>
        </w:rPr>
        <w:t>20</w:t>
      </w:r>
      <w:r w:rsidR="001B1D99" w:rsidRPr="001B1D99">
        <w:rPr>
          <w:b/>
          <w:bCs/>
        </w:rPr>
        <w:t xml:space="preserve"> – </w:t>
      </w:r>
      <w:r w:rsidR="000D45CE">
        <w:rPr>
          <w:b/>
          <w:bCs/>
        </w:rPr>
        <w:t>š</w:t>
      </w:r>
      <w:r w:rsidR="001B1D99" w:rsidRPr="001B1D99">
        <w:rPr>
          <w:b/>
          <w:bCs/>
        </w:rPr>
        <w:t>kolství</w:t>
      </w:r>
      <w:r w:rsidR="004F4D99">
        <w:rPr>
          <w:b/>
          <w:bCs/>
        </w:rPr>
        <w:t>, kultur</w:t>
      </w:r>
      <w:r w:rsidR="00947852">
        <w:rPr>
          <w:b/>
          <w:bCs/>
        </w:rPr>
        <w:t>a</w:t>
      </w:r>
      <w:r w:rsidR="004F4D99">
        <w:rPr>
          <w:b/>
          <w:bCs/>
        </w:rPr>
        <w:t xml:space="preserve"> a sport</w:t>
      </w:r>
      <w:r w:rsidRPr="00C52F1D">
        <w:t xml:space="preserve"> </w:t>
      </w:r>
      <w:r w:rsidRPr="003205EB">
        <w:rPr>
          <w:b/>
        </w:rPr>
        <w:t>(</w:t>
      </w:r>
      <w:r w:rsidR="000D45CE">
        <w:rPr>
          <w:b/>
        </w:rPr>
        <w:t>61,73</w:t>
      </w:r>
      <w:r w:rsidRPr="003205EB">
        <w:rPr>
          <w:b/>
          <w:bCs/>
        </w:rPr>
        <w:t>%)</w:t>
      </w:r>
      <w:r w:rsidRPr="00C52F1D">
        <w:rPr>
          <w:b/>
          <w:bCs/>
        </w:rPr>
        <w:t xml:space="preserve"> </w:t>
      </w:r>
      <w:r w:rsidRPr="00C52F1D">
        <w:t>je v I. pololetí 20</w:t>
      </w:r>
      <w:r w:rsidR="00FC0493">
        <w:t>1</w:t>
      </w:r>
      <w:r w:rsidR="009A36AC">
        <w:t>6</w:t>
      </w:r>
      <w:r w:rsidRPr="00C52F1D">
        <w:t xml:space="preserve"> </w:t>
      </w:r>
      <w:r w:rsidR="00D7518D">
        <w:t xml:space="preserve">jednoznačně </w:t>
      </w:r>
      <w:r w:rsidR="003205EB">
        <w:t>ovlivněno</w:t>
      </w:r>
      <w:r w:rsidRPr="00C52F1D">
        <w:t xml:space="preserve"> </w:t>
      </w:r>
      <w:r w:rsidR="001B1D99">
        <w:t>téměř</w:t>
      </w:r>
      <w:r w:rsidRPr="00C52F1D">
        <w:t xml:space="preserve"> </w:t>
      </w:r>
      <w:r w:rsidR="004430A7">
        <w:t>9</w:t>
      </w:r>
      <w:r w:rsidR="00A73451">
        <w:t>2</w:t>
      </w:r>
      <w:r w:rsidRPr="00C52F1D">
        <w:t xml:space="preserve">% </w:t>
      </w:r>
      <w:r w:rsidR="00CA4F0F" w:rsidRPr="00C52F1D">
        <w:t>vyplacením</w:t>
      </w:r>
      <w:r w:rsidRPr="00C52F1D">
        <w:t xml:space="preserve"> </w:t>
      </w:r>
      <w:r w:rsidR="00EA3257">
        <w:t>dotací (dříve veřejné finanční podpory) schválených</w:t>
      </w:r>
      <w:r w:rsidRPr="00C52F1D">
        <w:t xml:space="preserve"> orgány </w:t>
      </w:r>
      <w:r w:rsidR="00636DF7">
        <w:t xml:space="preserve">statutárního </w:t>
      </w:r>
      <w:r w:rsidRPr="00C52F1D">
        <w:t>města Prostějova ve sledovaném období</w:t>
      </w:r>
      <w:r w:rsidR="001B1D99">
        <w:t xml:space="preserve"> </w:t>
      </w:r>
      <w:r w:rsidR="00CE08D2">
        <w:t xml:space="preserve">včetně prostředků komisí RMP </w:t>
      </w:r>
      <w:r w:rsidR="004430A7">
        <w:t xml:space="preserve">(rozpočet: </w:t>
      </w:r>
      <w:r w:rsidR="00A73451">
        <w:t>15,9 mil</w:t>
      </w:r>
      <w:r w:rsidR="004430A7">
        <w:t xml:space="preserve">. Kč; skutečnost: </w:t>
      </w:r>
      <w:r w:rsidR="00A73451">
        <w:t>14,5 mil</w:t>
      </w:r>
      <w:r w:rsidR="004430A7">
        <w:t xml:space="preserve">. Kč). </w:t>
      </w:r>
      <w:r w:rsidR="00CE08D2">
        <w:t xml:space="preserve">Ostatní výdajové položky </w:t>
      </w:r>
      <w:r w:rsidR="00CA4F0F" w:rsidRPr="00C52F1D">
        <w:t>jsou čerpány v intenc</w:t>
      </w:r>
      <w:r w:rsidR="008100C9" w:rsidRPr="00C52F1D">
        <w:t>ích rozpočtu kapitoly</w:t>
      </w:r>
      <w:r w:rsidR="00CE08D2">
        <w:t>.</w:t>
      </w:r>
      <w:r w:rsidR="00EC19BF">
        <w:t xml:space="preserve"> </w:t>
      </w:r>
      <w:r w:rsidR="00EC19BF" w:rsidRPr="00C52F1D">
        <w:rPr>
          <w:b/>
          <w:bCs/>
          <w:u w:val="single"/>
        </w:rPr>
        <w:t xml:space="preserve">Výdaje kapitoly svým objemem (aktuální rozpočet = </w:t>
      </w:r>
      <w:r w:rsidR="00ED416E">
        <w:rPr>
          <w:b/>
          <w:bCs/>
          <w:u w:val="single"/>
        </w:rPr>
        <w:t>90.014,65</w:t>
      </w:r>
      <w:r w:rsidR="00EC19BF" w:rsidRPr="00C52F1D">
        <w:rPr>
          <w:b/>
          <w:bCs/>
          <w:u w:val="single"/>
        </w:rPr>
        <w:t xml:space="preserve"> tis. Kč; skutečnost = </w:t>
      </w:r>
      <w:r w:rsidR="00ED416E">
        <w:rPr>
          <w:b/>
          <w:bCs/>
          <w:u w:val="single"/>
        </w:rPr>
        <w:t>55.565,72</w:t>
      </w:r>
      <w:r w:rsidR="00EC19BF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EC19BF">
        <w:rPr>
          <w:b/>
          <w:bCs/>
          <w:u w:val="single"/>
        </w:rPr>
        <w:t>1</w:t>
      </w:r>
      <w:r w:rsidR="00ED416E">
        <w:rPr>
          <w:b/>
          <w:bCs/>
          <w:u w:val="single"/>
        </w:rPr>
        <w:t>6</w:t>
      </w:r>
      <w:r w:rsidR="00EC19BF" w:rsidRPr="00C52F1D">
        <w:rPr>
          <w:b/>
          <w:bCs/>
          <w:u w:val="single"/>
        </w:rPr>
        <w:t>.</w:t>
      </w:r>
    </w:p>
    <w:p w:rsidR="006D3FC1" w:rsidRPr="00785923" w:rsidRDefault="006D3FC1" w:rsidP="00785923">
      <w:pPr>
        <w:ind w:firstLine="708"/>
        <w:jc w:val="both"/>
        <w:rPr>
          <w:b/>
          <w:bCs/>
          <w:u w:val="single"/>
        </w:rPr>
      </w:pPr>
    </w:p>
    <w:p w:rsidR="001B1D99" w:rsidRDefault="004430A7" w:rsidP="00342052">
      <w:pPr>
        <w:ind w:firstLine="708"/>
        <w:jc w:val="both"/>
        <w:rPr>
          <w:b/>
          <w:bCs/>
          <w:u w:val="single"/>
        </w:rPr>
      </w:pPr>
      <w:r>
        <w:t xml:space="preserve">Průběžné čerpání </w:t>
      </w:r>
      <w:r w:rsidR="009E1BB9" w:rsidRPr="00F469B5">
        <w:t xml:space="preserve">výdajové části kapitoly </w:t>
      </w:r>
      <w:r w:rsidR="009E1BB9" w:rsidRPr="00F469B5">
        <w:rPr>
          <w:b/>
          <w:bCs/>
        </w:rPr>
        <w:t xml:space="preserve">50 – </w:t>
      </w:r>
      <w:r w:rsidR="00ED416E">
        <w:rPr>
          <w:b/>
          <w:bCs/>
        </w:rPr>
        <w:t>s</w:t>
      </w:r>
      <w:r w:rsidR="009E1BB9" w:rsidRPr="00F469B5">
        <w:rPr>
          <w:b/>
          <w:bCs/>
        </w:rPr>
        <w:t>práv</w:t>
      </w:r>
      <w:r w:rsidR="00947852">
        <w:rPr>
          <w:b/>
          <w:bCs/>
        </w:rPr>
        <w:t>a</w:t>
      </w:r>
      <w:r w:rsidR="009E1BB9" w:rsidRPr="00F469B5">
        <w:rPr>
          <w:b/>
          <w:bCs/>
        </w:rPr>
        <w:t xml:space="preserve"> a nakládání s majetkem města </w:t>
      </w:r>
      <w:r>
        <w:rPr>
          <w:bCs/>
        </w:rPr>
        <w:t xml:space="preserve">je </w:t>
      </w:r>
      <w:r w:rsidR="00ED416E">
        <w:rPr>
          <w:b/>
          <w:bCs/>
        </w:rPr>
        <w:t>7,99</w:t>
      </w:r>
      <w:r>
        <w:rPr>
          <w:b/>
          <w:bCs/>
        </w:rPr>
        <w:t>%</w:t>
      </w:r>
      <w:r w:rsidR="00342052">
        <w:rPr>
          <w:b/>
          <w:bCs/>
        </w:rPr>
        <w:t>.</w:t>
      </w:r>
      <w:r w:rsidR="009E1BB9" w:rsidRPr="00F469B5">
        <w:t xml:space="preserve"> </w:t>
      </w:r>
      <w:r w:rsidR="00C84D5D">
        <w:t>Čerpání</w:t>
      </w:r>
      <w:r w:rsidR="00C84D5D" w:rsidRPr="00321795">
        <w:t xml:space="preserve"> provozních výdajových položek jako jsou služby, energie, opravy, údržba, poradenské služby, nákup materiálu, daň z nabytí nemovitých věcí aj.</w:t>
      </w:r>
      <w:r w:rsidR="00C84D5D">
        <w:t xml:space="preserve"> </w:t>
      </w:r>
      <w:r w:rsidR="00C84D5D" w:rsidRPr="00321795">
        <w:t>nelze časově rozdělit na pololetí. Výdaje jsou čerpány postupně dle činností zajišťovaných Odborem správy a údržby majetku města</w:t>
      </w:r>
      <w:r w:rsidR="00C84D5D">
        <w:t xml:space="preserve"> </w:t>
      </w:r>
      <w:proofErr w:type="spellStart"/>
      <w:r w:rsidR="00C84D5D">
        <w:t>MMPv</w:t>
      </w:r>
      <w:proofErr w:type="spellEnd"/>
      <w:r w:rsidR="00C84D5D" w:rsidRPr="00321795">
        <w:t xml:space="preserve">. Celkově se v čerpání výdajů k 30.6. odráží to, že ve II. čtvrtletí byla schválena řada rozpočtových opatření na výkupy pozemků, nákup drobného hmotného dlouhodobého majetku či opravy, kdy k realizaci dojde až v průběhu II. pololetí </w:t>
      </w:r>
      <w:proofErr w:type="gramStart"/>
      <w:r w:rsidR="00C84D5D" w:rsidRPr="00321795">
        <w:t>t.r.</w:t>
      </w:r>
      <w:proofErr w:type="gramEnd"/>
      <w:r w:rsidR="00C84D5D" w:rsidRPr="00321795">
        <w:t xml:space="preserve"> a tedy i čerpání finančních prostředků se projeví v hospodaření </w:t>
      </w:r>
      <w:r w:rsidR="00C84D5D">
        <w:t xml:space="preserve">až </w:t>
      </w:r>
      <w:r w:rsidR="00C84D5D" w:rsidRPr="00321795">
        <w:t>za rok 2016</w:t>
      </w:r>
      <w:r w:rsidR="00C84D5D">
        <w:t xml:space="preserve"> k 31.12. </w:t>
      </w:r>
      <w:r w:rsidR="00C84D5D" w:rsidRPr="00321795">
        <w:t xml:space="preserve">Pokud se jedná o čerpání prostředků do konce letošního roku, lze předpokládat, že prostředky na provozní výdaje budou vyčerpány. U ostatních prostředků – jako např. </w:t>
      </w:r>
      <w:r w:rsidR="00C84D5D">
        <w:t xml:space="preserve">prostředky na </w:t>
      </w:r>
      <w:r w:rsidR="00C84D5D" w:rsidRPr="00321795">
        <w:t>výkupy pozemků, je čerpání odvislé na ukončení příslušných jednání. Pokud nebudou finanční prostředky vyčerpány, budou vráceny zpět do FRR</w:t>
      </w:r>
      <w:r w:rsidR="00C84D5D">
        <w:t xml:space="preserve">. </w:t>
      </w:r>
      <w:r w:rsidR="00944BD6" w:rsidRPr="00F469B5">
        <w:rPr>
          <w:b/>
          <w:bCs/>
          <w:u w:val="single"/>
        </w:rPr>
        <w:t xml:space="preserve">Výdaje kapitoly svým objemem (aktuální rozpočet = </w:t>
      </w:r>
      <w:r w:rsidR="00355500">
        <w:rPr>
          <w:b/>
          <w:bCs/>
          <w:u w:val="single"/>
        </w:rPr>
        <w:t>45.778,17</w:t>
      </w:r>
      <w:r w:rsidR="00944BD6" w:rsidRPr="00F469B5">
        <w:rPr>
          <w:b/>
          <w:bCs/>
          <w:u w:val="single"/>
        </w:rPr>
        <w:t xml:space="preserve"> tis. Kč; skutečnost = </w:t>
      </w:r>
      <w:r w:rsidR="00355500">
        <w:rPr>
          <w:b/>
          <w:bCs/>
          <w:u w:val="single"/>
        </w:rPr>
        <w:t>3.658,43</w:t>
      </w:r>
      <w:r w:rsidR="00944BD6" w:rsidRPr="00F469B5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0493" w:rsidRPr="00F469B5">
        <w:rPr>
          <w:b/>
          <w:bCs/>
          <w:u w:val="single"/>
        </w:rPr>
        <w:t>1</w:t>
      </w:r>
      <w:r w:rsidR="00355500">
        <w:rPr>
          <w:b/>
          <w:bCs/>
          <w:u w:val="single"/>
        </w:rPr>
        <w:t>6</w:t>
      </w:r>
      <w:r w:rsidR="00944BD6" w:rsidRPr="00F469B5">
        <w:rPr>
          <w:b/>
          <w:bCs/>
          <w:u w:val="single"/>
        </w:rPr>
        <w:t>.</w:t>
      </w:r>
    </w:p>
    <w:p w:rsidR="00342052" w:rsidRPr="00F469B5" w:rsidRDefault="00342052" w:rsidP="00342052">
      <w:pPr>
        <w:ind w:firstLine="708"/>
        <w:jc w:val="both"/>
      </w:pPr>
    </w:p>
    <w:p w:rsidR="006A095A" w:rsidRPr="006A095A" w:rsidRDefault="006A095A" w:rsidP="006A095A">
      <w:pPr>
        <w:jc w:val="both"/>
      </w:pPr>
      <w:r w:rsidRPr="006A095A">
        <w:tab/>
      </w:r>
      <w:r w:rsidR="00FC209E" w:rsidRPr="006A095A">
        <w:t>Průběžné č</w:t>
      </w:r>
      <w:r w:rsidR="000D4DA4" w:rsidRPr="006A095A">
        <w:t xml:space="preserve">erpání </w:t>
      </w:r>
      <w:r w:rsidR="009E1BB9" w:rsidRPr="006A095A">
        <w:t xml:space="preserve">výdajů </w:t>
      </w:r>
      <w:r w:rsidR="000D4DA4" w:rsidRPr="006A095A">
        <w:t xml:space="preserve">kapitoly </w:t>
      </w:r>
      <w:r w:rsidR="000D4DA4" w:rsidRPr="006A095A">
        <w:rPr>
          <w:b/>
          <w:bCs/>
        </w:rPr>
        <w:t xml:space="preserve">60 – </w:t>
      </w:r>
      <w:r w:rsidR="009227B7" w:rsidRPr="006A095A">
        <w:rPr>
          <w:b/>
          <w:bCs/>
        </w:rPr>
        <w:t>r</w:t>
      </w:r>
      <w:r w:rsidR="000D4DA4" w:rsidRPr="006A095A">
        <w:rPr>
          <w:b/>
          <w:bCs/>
        </w:rPr>
        <w:t>ozvoj a investice</w:t>
      </w:r>
      <w:r w:rsidR="000D4DA4" w:rsidRPr="006A095A">
        <w:t xml:space="preserve"> ve výši </w:t>
      </w:r>
      <w:r w:rsidR="005C501E" w:rsidRPr="006A095A">
        <w:rPr>
          <w:b/>
          <w:bCs/>
        </w:rPr>
        <w:t>16,68</w:t>
      </w:r>
      <w:r w:rsidR="009E1BB9" w:rsidRPr="006A095A">
        <w:rPr>
          <w:b/>
          <w:bCs/>
        </w:rPr>
        <w:t>%</w:t>
      </w:r>
      <w:r w:rsidR="000D4DA4" w:rsidRPr="006A095A">
        <w:rPr>
          <w:b/>
          <w:bCs/>
        </w:rPr>
        <w:t xml:space="preserve"> </w:t>
      </w:r>
      <w:r w:rsidR="00980103" w:rsidRPr="006A095A">
        <w:t>je ve vztahu k realizaci stavebních investic standardní</w:t>
      </w:r>
      <w:r w:rsidR="00FC209E" w:rsidRPr="006A095A">
        <w:t xml:space="preserve">. </w:t>
      </w:r>
      <w:r w:rsidRPr="006A095A">
        <w:t>Při vyjádření k čerpání rozpočtu kap. 60 v I. pololetí je třeba opakovaně připomenout dvě skutečnosti:</w:t>
      </w:r>
    </w:p>
    <w:p w:rsidR="006A095A" w:rsidRPr="006A095A" w:rsidRDefault="006A095A" w:rsidP="006A095A">
      <w:pPr>
        <w:pStyle w:val="Odstavecseseznamem"/>
        <w:numPr>
          <w:ilvl w:val="0"/>
          <w:numId w:val="41"/>
        </w:numPr>
        <w:autoSpaceDE/>
        <w:autoSpaceDN/>
        <w:jc w:val="both"/>
      </w:pPr>
      <w:r w:rsidRPr="006A095A">
        <w:t xml:space="preserve">Stavební investice z důvodu jejich povahy nelze realizovat v I. čtvrtletí roku z důvodu klimatických podmínek a vlastní čerpání tak probíhá pouze ve II. čtvrtletí roku. Z toho je možno dovodit, že čerpání v I. pololetí může být reálně na 1/3 schváleného rozpočtu, ale ne upraveného rozpočtu. Akce, které jsou schvalovány v průběhu I. pololetí a </w:t>
      </w:r>
      <w:proofErr w:type="gramStart"/>
      <w:r w:rsidRPr="006A095A">
        <w:t>jsou</w:t>
      </w:r>
      <w:proofErr w:type="gramEnd"/>
      <w:r w:rsidRPr="006A095A">
        <w:t xml:space="preserve"> zahrnuty do rozpočtu upraveného </w:t>
      </w:r>
      <w:proofErr w:type="gramStart"/>
      <w:r w:rsidRPr="006A095A">
        <w:t>jsou</w:t>
      </w:r>
      <w:proofErr w:type="gramEnd"/>
      <w:r w:rsidRPr="006A095A">
        <w:t xml:space="preserve"> na úplném začátku</w:t>
      </w:r>
      <w:r w:rsidR="00A34A10">
        <w:t xml:space="preserve"> své realizace</w:t>
      </w:r>
      <w:r w:rsidRPr="006A095A">
        <w:t xml:space="preserve"> a finanční plnění je reálné až ve II. pololetí.</w:t>
      </w:r>
    </w:p>
    <w:p w:rsidR="00A34A10" w:rsidRDefault="006A095A" w:rsidP="00A34A10">
      <w:pPr>
        <w:pStyle w:val="Odstavecseseznamem"/>
        <w:numPr>
          <w:ilvl w:val="0"/>
          <w:numId w:val="41"/>
        </w:numPr>
        <w:jc w:val="both"/>
        <w:rPr>
          <w:b/>
          <w:bCs/>
          <w:u w:val="single"/>
        </w:rPr>
      </w:pPr>
      <w:r w:rsidRPr="006A095A">
        <w:t>V průběhu I. pololetí je objem rozpočtu stavebních investic navyšován. Čerpání navýšených částek probíhá převážně až ve II. pololetí roku. Z výše uvedených důvodů je zřejmé, že čerpání investičních prostředků neprobíhá v lineární závislosti na čase.</w:t>
      </w:r>
    </w:p>
    <w:p w:rsidR="00A267D5" w:rsidRPr="00A34A10" w:rsidRDefault="00A267D5" w:rsidP="00A34A10">
      <w:pPr>
        <w:pStyle w:val="Odstavecseseznamem"/>
        <w:ind w:left="0"/>
        <w:jc w:val="both"/>
        <w:rPr>
          <w:b/>
          <w:bCs/>
          <w:u w:val="single"/>
        </w:rPr>
      </w:pPr>
      <w:r w:rsidRPr="00A34A10">
        <w:rPr>
          <w:b/>
          <w:bCs/>
          <w:u w:val="single"/>
        </w:rPr>
        <w:t xml:space="preserve">Výdaje kapitoly svým objemem (aktuální rozpočet = </w:t>
      </w:r>
      <w:r w:rsidR="00A34A10">
        <w:rPr>
          <w:b/>
          <w:bCs/>
          <w:u w:val="single"/>
        </w:rPr>
        <w:t>226.398,50</w:t>
      </w:r>
      <w:r w:rsidRPr="00A34A10">
        <w:rPr>
          <w:b/>
          <w:bCs/>
          <w:u w:val="single"/>
        </w:rPr>
        <w:t xml:space="preserve"> tis. Kč; skutečnost = </w:t>
      </w:r>
      <w:r w:rsidR="00A34A10">
        <w:rPr>
          <w:b/>
          <w:bCs/>
          <w:u w:val="single"/>
        </w:rPr>
        <w:t>37.766,70</w:t>
      </w:r>
      <w:r w:rsidRPr="00A34A10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0493" w:rsidRPr="00A34A10">
        <w:rPr>
          <w:b/>
          <w:bCs/>
          <w:u w:val="single"/>
        </w:rPr>
        <w:t>1</w:t>
      </w:r>
      <w:r w:rsidR="00A34A10">
        <w:rPr>
          <w:b/>
          <w:bCs/>
          <w:u w:val="single"/>
        </w:rPr>
        <w:t>6</w:t>
      </w:r>
      <w:r w:rsidRPr="00A34A10">
        <w:rPr>
          <w:b/>
          <w:bCs/>
          <w:u w:val="single"/>
        </w:rPr>
        <w:t>.</w:t>
      </w:r>
    </w:p>
    <w:p w:rsidR="00980103" w:rsidRDefault="00980103" w:rsidP="00EC19BF">
      <w:pPr>
        <w:ind w:firstLine="708"/>
        <w:jc w:val="both"/>
        <w:rPr>
          <w:b/>
          <w:bCs/>
          <w:u w:val="single"/>
        </w:rPr>
      </w:pPr>
    </w:p>
    <w:p w:rsidR="00F46C42" w:rsidRDefault="00F46C42" w:rsidP="00EC19BF">
      <w:pPr>
        <w:ind w:firstLine="708"/>
        <w:jc w:val="both"/>
        <w:rPr>
          <w:b/>
          <w:bCs/>
          <w:u w:val="single"/>
        </w:rPr>
      </w:pPr>
      <w:r w:rsidRPr="00F46C42">
        <w:t xml:space="preserve">U kapitoly </w:t>
      </w:r>
      <w:r>
        <w:rPr>
          <w:b/>
          <w:bCs/>
        </w:rPr>
        <w:t xml:space="preserve">70 – </w:t>
      </w:r>
      <w:r w:rsidR="009227B7">
        <w:rPr>
          <w:b/>
          <w:bCs/>
        </w:rPr>
        <w:t>f</w:t>
      </w:r>
      <w:r>
        <w:rPr>
          <w:b/>
          <w:bCs/>
        </w:rPr>
        <w:t xml:space="preserve">inanční </w:t>
      </w:r>
      <w:r w:rsidR="00A34A10">
        <w:t>se v</w:t>
      </w:r>
      <w:r>
        <w:t xml:space="preserve"> </w:t>
      </w:r>
      <w:r w:rsidR="00A34A10">
        <w:t>nižším</w:t>
      </w:r>
      <w:r>
        <w:t xml:space="preserve"> </w:t>
      </w:r>
      <w:r w:rsidR="00DB197A">
        <w:t xml:space="preserve">průběžném </w:t>
      </w:r>
      <w:r>
        <w:t>čerpání</w:t>
      </w:r>
      <w:r w:rsidR="00DB197A">
        <w:t xml:space="preserve"> výdajů</w:t>
      </w:r>
      <w:r>
        <w:t xml:space="preserve"> za I. pololetí (</w:t>
      </w:r>
      <w:r w:rsidR="00A34A10">
        <w:rPr>
          <w:b/>
          <w:bCs/>
        </w:rPr>
        <w:t>38,71</w:t>
      </w:r>
      <w:r>
        <w:rPr>
          <w:b/>
          <w:bCs/>
        </w:rPr>
        <w:t>%)</w:t>
      </w:r>
      <w:r w:rsidR="00E313DA">
        <w:t xml:space="preserve"> projevuj</w:t>
      </w:r>
      <w:r w:rsidR="007415CA">
        <w:t>í</w:t>
      </w:r>
      <w:r w:rsidR="00E313DA">
        <w:t xml:space="preserve"> </w:t>
      </w:r>
      <w:r w:rsidR="007415CA">
        <w:t>zejména zůstatky zatím nečerpaných rezerv, a to prostředků na rozpočtová opatření RMP (zbývá 12,5 mil. Kč), škodní a havarijní situace (zbývá 2,5 mil. Kč) a prostředků na tzv. ostatní investice (zbývá 12,6 mil. Kč). Tyto prostředky jsou na základě usnesení orgánů města čerpány kapitolami, kam jsou převáděny v průběhu rozpočtového období na základě rozhodnutí orgánů města. Naopak byla v kapitole provedena jednorázová úhrada</w:t>
      </w:r>
      <w:r w:rsidR="00E54495">
        <w:t xml:space="preserve"> DPPO placená obcí ve výši </w:t>
      </w:r>
      <w:r w:rsidR="007415CA">
        <w:t>22,79 mil</w:t>
      </w:r>
      <w:r w:rsidR="00E54495">
        <w:t>. Kč</w:t>
      </w:r>
      <w:r w:rsidR="00691DC5">
        <w:t xml:space="preserve"> (rozpočet: 2</w:t>
      </w:r>
      <w:r w:rsidR="007415CA">
        <w:t>4 mil</w:t>
      </w:r>
      <w:r w:rsidR="00691DC5">
        <w:t>. Kč)</w:t>
      </w:r>
      <w:r w:rsidR="00F31AAF">
        <w:t xml:space="preserve">. </w:t>
      </w:r>
      <w:r w:rsidR="00FC4962" w:rsidRPr="00C52F1D">
        <w:rPr>
          <w:b/>
          <w:bCs/>
          <w:u w:val="single"/>
        </w:rPr>
        <w:t xml:space="preserve">Výdaje kapitoly svým objemem (aktuální rozpočet = </w:t>
      </w:r>
      <w:r w:rsidR="007415CA">
        <w:rPr>
          <w:b/>
          <w:bCs/>
          <w:u w:val="single"/>
        </w:rPr>
        <w:t>67.540,30</w:t>
      </w:r>
      <w:r w:rsidR="00FC4962" w:rsidRPr="00C52F1D">
        <w:rPr>
          <w:b/>
          <w:bCs/>
          <w:u w:val="single"/>
        </w:rPr>
        <w:t xml:space="preserve"> tis. Kč; skutečnost = </w:t>
      </w:r>
      <w:r w:rsidR="007415CA">
        <w:rPr>
          <w:b/>
          <w:bCs/>
          <w:u w:val="single"/>
        </w:rPr>
        <w:t>26.144,37</w:t>
      </w:r>
      <w:r w:rsidR="00FC4962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4962">
        <w:rPr>
          <w:b/>
          <w:bCs/>
          <w:u w:val="single"/>
        </w:rPr>
        <w:t>1</w:t>
      </w:r>
      <w:r w:rsidR="007415CA">
        <w:rPr>
          <w:b/>
          <w:bCs/>
          <w:u w:val="single"/>
        </w:rPr>
        <w:t>6</w:t>
      </w:r>
      <w:r w:rsidR="00FC4962" w:rsidRPr="00C52F1D">
        <w:rPr>
          <w:b/>
          <w:bCs/>
          <w:u w:val="single"/>
        </w:rPr>
        <w:t>.</w:t>
      </w:r>
    </w:p>
    <w:p w:rsidR="001A582A" w:rsidRDefault="001A582A" w:rsidP="00E313DA">
      <w:pPr>
        <w:jc w:val="both"/>
        <w:rPr>
          <w:b/>
          <w:bCs/>
          <w:u w:val="single"/>
        </w:rPr>
      </w:pPr>
    </w:p>
    <w:p w:rsidR="00E377E1" w:rsidRDefault="007415CA" w:rsidP="001A582A">
      <w:pPr>
        <w:ind w:firstLine="708"/>
        <w:jc w:val="both"/>
        <w:rPr>
          <w:b/>
          <w:bCs/>
          <w:u w:val="single"/>
        </w:rPr>
      </w:pPr>
      <w:r>
        <w:t>Výdajová</w:t>
      </w:r>
      <w:r w:rsidRPr="00640A31">
        <w:t xml:space="preserve"> stránka kapitoly </w:t>
      </w:r>
      <w:r w:rsidR="00512413">
        <w:rPr>
          <w:b/>
        </w:rPr>
        <w:t>9</w:t>
      </w:r>
      <w:r w:rsidRPr="00640A31">
        <w:rPr>
          <w:b/>
          <w:bCs/>
        </w:rPr>
        <w:t xml:space="preserve">0 – </w:t>
      </w:r>
      <w:r>
        <w:rPr>
          <w:b/>
          <w:bCs/>
        </w:rPr>
        <w:t>s</w:t>
      </w:r>
      <w:r w:rsidRPr="00640A31">
        <w:rPr>
          <w:b/>
          <w:bCs/>
        </w:rPr>
        <w:t xml:space="preserve">práva a </w:t>
      </w:r>
      <w:r w:rsidR="00512413">
        <w:rPr>
          <w:b/>
          <w:bCs/>
        </w:rPr>
        <w:t>údržba</w:t>
      </w:r>
      <w:r w:rsidRPr="00640A31">
        <w:rPr>
          <w:b/>
          <w:bCs/>
        </w:rPr>
        <w:t xml:space="preserve"> </w:t>
      </w:r>
      <w:r w:rsidR="00512413">
        <w:rPr>
          <w:b/>
          <w:bCs/>
        </w:rPr>
        <w:t>majetku</w:t>
      </w:r>
      <w:r w:rsidRPr="00640A31">
        <w:rPr>
          <w:b/>
          <w:bCs/>
        </w:rPr>
        <w:t xml:space="preserve"> města</w:t>
      </w:r>
      <w:r w:rsidRPr="00640A31">
        <w:t xml:space="preserve"> vykazuje k 30.6. </w:t>
      </w:r>
      <w:proofErr w:type="gramStart"/>
      <w:r w:rsidRPr="00640A31">
        <w:t>t.r.</w:t>
      </w:r>
      <w:proofErr w:type="gramEnd"/>
      <w:r w:rsidRPr="00640A31">
        <w:t xml:space="preserve"> </w:t>
      </w:r>
      <w:r>
        <w:t xml:space="preserve">průběžné </w:t>
      </w:r>
      <w:r w:rsidRPr="00640A31">
        <w:t xml:space="preserve">plnění vůči upravenému rozpočtu na </w:t>
      </w:r>
      <w:r>
        <w:rPr>
          <w:b/>
        </w:rPr>
        <w:t>42,12</w:t>
      </w:r>
      <w:r w:rsidR="001A582A" w:rsidRPr="001A582A">
        <w:rPr>
          <w:b/>
        </w:rPr>
        <w:t>%</w:t>
      </w:r>
      <w:r>
        <w:rPr>
          <w:b/>
        </w:rPr>
        <w:t>.</w:t>
      </w:r>
      <w:r w:rsidR="001A582A">
        <w:t xml:space="preserve"> </w:t>
      </w:r>
      <w:r>
        <w:t>Finanční prostředky jsou čerpány v souladu s nasmlouvanými službami, opravami a dodávkami se společnostmi Domovní správa Prostějov, s.r.</w:t>
      </w:r>
      <w:proofErr w:type="gramStart"/>
      <w:r>
        <w:t>o., a .A.</w:t>
      </w:r>
      <w:proofErr w:type="gramEnd"/>
      <w:r>
        <w:t>S.A. TS Prostějov, s.r.o. Čerpání výdajové části rozpočtu kapitoly zhruba odpovídá pololetnímu čerpání.  U některých položek, např. opravy komunikací a chodníků, čištění města, údržby veřejné zeleně, zálivky, sečení, se projeví vyšší čerpání až ve II. pololetí z důvodu většího podílu provedených sezonních prací. Čerpání finančních prostředků je pravidelně sledováno a vyhodnocováno a je předpoklad, že plánované prostředky pro rok 2016 budou vyčerpány.</w:t>
      </w:r>
      <w:r w:rsidR="001A582A">
        <w:rPr>
          <w:b/>
          <w:bCs/>
          <w:u w:val="single"/>
        </w:rPr>
        <w:t xml:space="preserve"> </w:t>
      </w:r>
      <w:r w:rsidR="00E377E1" w:rsidRPr="00C52F1D">
        <w:rPr>
          <w:b/>
          <w:bCs/>
          <w:u w:val="single"/>
        </w:rPr>
        <w:t xml:space="preserve">Výdaje kapitoly svým objemem (aktuální rozpočet = </w:t>
      </w:r>
      <w:r>
        <w:rPr>
          <w:b/>
          <w:bCs/>
          <w:u w:val="single"/>
        </w:rPr>
        <w:t>204.149,17</w:t>
      </w:r>
      <w:r w:rsidR="00E377E1" w:rsidRPr="00C52F1D">
        <w:rPr>
          <w:b/>
          <w:bCs/>
          <w:u w:val="single"/>
        </w:rPr>
        <w:t xml:space="preserve"> tis. Kč; skutečnost = </w:t>
      </w:r>
      <w:r>
        <w:rPr>
          <w:b/>
          <w:bCs/>
          <w:u w:val="single"/>
        </w:rPr>
        <w:t>85.979,32</w:t>
      </w:r>
      <w:r w:rsidR="00E377E1" w:rsidRPr="00C52F1D">
        <w:rPr>
          <w:b/>
          <w:bCs/>
          <w:u w:val="single"/>
        </w:rPr>
        <w:t xml:space="preserve"> tis. Kč) rozhodnou měrou ovlivnily plnění celkových výdajů rozpočtu města v I. pololetí 20</w:t>
      </w:r>
      <w:r w:rsidR="00FC4962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="00E377E1" w:rsidRPr="00C52F1D">
        <w:rPr>
          <w:b/>
          <w:bCs/>
          <w:u w:val="single"/>
        </w:rPr>
        <w:t>.</w:t>
      </w:r>
    </w:p>
    <w:p w:rsidR="00747980" w:rsidRPr="00C52F1D" w:rsidRDefault="00747980" w:rsidP="00EC19BF">
      <w:pPr>
        <w:numPr>
          <w:ilvl w:val="12"/>
          <w:numId w:val="0"/>
        </w:numPr>
        <w:jc w:val="both"/>
      </w:pPr>
    </w:p>
    <w:p w:rsidR="00A267D5" w:rsidRPr="00C52F1D" w:rsidRDefault="00A267D5" w:rsidP="00EC19BF">
      <w:pPr>
        <w:numPr>
          <w:ilvl w:val="12"/>
          <w:numId w:val="0"/>
        </w:numPr>
        <w:ind w:firstLine="708"/>
        <w:jc w:val="both"/>
      </w:pPr>
      <w:r w:rsidRPr="00C52F1D">
        <w:t xml:space="preserve">Financující položky </w:t>
      </w:r>
      <w:r w:rsidR="001F1BCD">
        <w:t xml:space="preserve">skutečnosti </w:t>
      </w:r>
      <w:r w:rsidRPr="00C52F1D">
        <w:t xml:space="preserve">v objemu </w:t>
      </w:r>
      <w:r w:rsidRPr="00C52F1D">
        <w:rPr>
          <w:b/>
          <w:bCs/>
        </w:rPr>
        <w:t>m</w:t>
      </w:r>
      <w:r w:rsidR="00EC4DCA">
        <w:rPr>
          <w:b/>
          <w:bCs/>
        </w:rPr>
        <w:t>í</w:t>
      </w:r>
      <w:r w:rsidRPr="00C52F1D">
        <w:rPr>
          <w:b/>
          <w:bCs/>
        </w:rPr>
        <w:t xml:space="preserve">nus </w:t>
      </w:r>
      <w:r w:rsidR="00523954">
        <w:rPr>
          <w:b/>
          <w:bCs/>
        </w:rPr>
        <w:t>97.871.941,78</w:t>
      </w:r>
      <w:r w:rsidR="009C6B73">
        <w:rPr>
          <w:b/>
          <w:bCs/>
        </w:rPr>
        <w:t xml:space="preserve"> </w:t>
      </w:r>
      <w:r w:rsidR="004A0CFB">
        <w:rPr>
          <w:b/>
          <w:bCs/>
        </w:rPr>
        <w:t>Kč (</w:t>
      </w:r>
      <w:r w:rsidR="00523954">
        <w:rPr>
          <w:b/>
          <w:bCs/>
        </w:rPr>
        <w:t xml:space="preserve">aktuální </w:t>
      </w:r>
      <w:r w:rsidR="004A0CFB">
        <w:rPr>
          <w:b/>
          <w:bCs/>
        </w:rPr>
        <w:t xml:space="preserve">rozpočet = plus </w:t>
      </w:r>
      <w:r w:rsidR="00523954">
        <w:rPr>
          <w:b/>
          <w:bCs/>
        </w:rPr>
        <w:t>148.033.453,86</w:t>
      </w:r>
      <w:r w:rsidR="004A0CFB">
        <w:rPr>
          <w:b/>
          <w:bCs/>
        </w:rPr>
        <w:t xml:space="preserve"> Kč)</w:t>
      </w:r>
      <w:r w:rsidR="004A0CFB">
        <w:t xml:space="preserve"> </w:t>
      </w:r>
      <w:r w:rsidRPr="00C52F1D">
        <w:t xml:space="preserve">představují změnu stavu krátkodobých prostředků na bankovních účtech </w:t>
      </w:r>
      <w:r w:rsidR="004A0CFB">
        <w:t xml:space="preserve">města </w:t>
      </w:r>
      <w:r w:rsidR="00523954">
        <w:t xml:space="preserve">kromě účtu státních finančních aktiv </w:t>
      </w:r>
      <w:r w:rsidRPr="00C52F1D">
        <w:t>(</w:t>
      </w:r>
      <w:r w:rsidR="00193DFD">
        <w:t xml:space="preserve">daný </w:t>
      </w:r>
      <w:r w:rsidR="004A0CFB">
        <w:t>údaj</w:t>
      </w:r>
      <w:r w:rsidR="00193DFD">
        <w:t xml:space="preserve"> a prostředky aktuálního rozpočtu</w:t>
      </w:r>
      <w:r w:rsidR="004A0CFB">
        <w:t xml:space="preserve"> </w:t>
      </w:r>
      <w:r w:rsidR="00193DFD">
        <w:t>korespondují</w:t>
      </w:r>
      <w:r w:rsidRPr="00C52F1D">
        <w:t xml:space="preserve"> s </w:t>
      </w:r>
      <w:r w:rsidR="00435177" w:rsidRPr="00C52F1D">
        <w:t>přírůstkem</w:t>
      </w:r>
      <w:r w:rsidRPr="00C52F1D">
        <w:t xml:space="preserve"> na rozpočtových účtech a </w:t>
      </w:r>
      <w:r w:rsidR="00F64591">
        <w:t xml:space="preserve">trvalých peněžních </w:t>
      </w:r>
      <w:r w:rsidRPr="00C52F1D">
        <w:t>fondech města</w:t>
      </w:r>
      <w:r w:rsidR="009C6B73">
        <w:t>)</w:t>
      </w:r>
      <w:r w:rsidR="007230F0">
        <w:t xml:space="preserve"> ve výši </w:t>
      </w:r>
      <w:r w:rsidR="007230F0">
        <w:rPr>
          <w:b/>
        </w:rPr>
        <w:t xml:space="preserve">mínus </w:t>
      </w:r>
      <w:r w:rsidR="00523954">
        <w:rPr>
          <w:b/>
        </w:rPr>
        <w:t>97.880.939,65</w:t>
      </w:r>
      <w:r w:rsidR="007230F0">
        <w:rPr>
          <w:b/>
        </w:rPr>
        <w:t xml:space="preserve"> Kč</w:t>
      </w:r>
      <w:r w:rsidR="008F6722">
        <w:rPr>
          <w:b/>
        </w:rPr>
        <w:t xml:space="preserve"> </w:t>
      </w:r>
      <w:r w:rsidR="009C6B73">
        <w:t xml:space="preserve">a operace z peněžních účtů organizace nemající charakter příjmů a výdajů vládního sektoru ve výši </w:t>
      </w:r>
      <w:r w:rsidR="009C6B73">
        <w:rPr>
          <w:b/>
        </w:rPr>
        <w:t xml:space="preserve">plus </w:t>
      </w:r>
      <w:r w:rsidR="00193DFD">
        <w:rPr>
          <w:b/>
        </w:rPr>
        <w:t>8.997,87</w:t>
      </w:r>
      <w:r w:rsidR="009C6B73">
        <w:rPr>
          <w:b/>
        </w:rPr>
        <w:t xml:space="preserve"> Kč</w:t>
      </w:r>
      <w:r w:rsidR="009C6B73">
        <w:t xml:space="preserve"> (</w:t>
      </w:r>
      <w:r w:rsidR="009764FC">
        <w:t>přenesená daňová působnost za období 6/201</w:t>
      </w:r>
      <w:r w:rsidR="00193DFD">
        <w:t>6</w:t>
      </w:r>
      <w:r w:rsidR="009764FC">
        <w:t>. Vyúčtováno bude v měsíci 7/201</w:t>
      </w:r>
      <w:r w:rsidR="00193DFD">
        <w:t>6</w:t>
      </w:r>
      <w:r w:rsidR="009764FC">
        <w:t xml:space="preserve"> na položku 5362)</w:t>
      </w:r>
      <w:r w:rsidR="00635D4C">
        <w:t>.</w:t>
      </w:r>
      <w:r w:rsidR="00435177" w:rsidRPr="00C52F1D">
        <w:t xml:space="preserve"> </w:t>
      </w:r>
      <w:r w:rsidRPr="00C52F1D">
        <w:t>Je tedy splněna zásada obecně platné rovnice:</w:t>
      </w:r>
    </w:p>
    <w:p w:rsidR="00A267D5" w:rsidRPr="00C52F1D" w:rsidRDefault="00A267D5" w:rsidP="007230F0">
      <w:pPr>
        <w:numPr>
          <w:ilvl w:val="12"/>
          <w:numId w:val="0"/>
        </w:numPr>
        <w:jc w:val="both"/>
      </w:pPr>
    </w:p>
    <w:p w:rsidR="00A267D5" w:rsidRPr="00C52F1D" w:rsidRDefault="00A267D5" w:rsidP="007230F0">
      <w:pPr>
        <w:numPr>
          <w:ilvl w:val="12"/>
          <w:numId w:val="0"/>
        </w:numPr>
        <w:jc w:val="center"/>
      </w:pPr>
      <w:r w:rsidRPr="00C52F1D">
        <w:rPr>
          <w:b/>
          <w:bCs/>
        </w:rPr>
        <w:t>PŘÍJMY - VÝDAJE = PŘEBYTEK (+)/SCHODEK (-) = minus/plus FINANCOVÁNÍ</w:t>
      </w:r>
    </w:p>
    <w:p w:rsidR="00A267D5" w:rsidRPr="00C52F1D" w:rsidRDefault="00A267D5" w:rsidP="007230F0">
      <w:pPr>
        <w:ind w:firstLine="708"/>
        <w:jc w:val="both"/>
      </w:pPr>
    </w:p>
    <w:p w:rsidR="00A267D5" w:rsidRPr="00C52F1D" w:rsidRDefault="00A267D5" w:rsidP="007230F0">
      <w:pPr>
        <w:ind w:firstLine="708"/>
        <w:jc w:val="both"/>
      </w:pPr>
      <w:r w:rsidRPr="00C52F1D">
        <w:t>Celý materiál je postaven v rovině jednak konsolidovaných a jednak nekonsolidovaných výsledků. Výsledky hospodaření jsou potom komentovány v rovině konsolidovaných údajů. Konsolidace se projevila pouze u kapitoly</w:t>
      </w:r>
      <w:r w:rsidR="00DA5D02">
        <w:t xml:space="preserve"> </w:t>
      </w:r>
      <w:r w:rsidRPr="00C52F1D">
        <w:t>70 (</w:t>
      </w:r>
      <w:r w:rsidR="00193DFD">
        <w:t>f</w:t>
      </w:r>
      <w:r w:rsidRPr="00C52F1D">
        <w:t>inanční - veškeré operace spojené s převodem fin</w:t>
      </w:r>
      <w:r w:rsidR="006768BC" w:rsidRPr="00C52F1D">
        <w:t>ančních</w:t>
      </w:r>
      <w:r w:rsidRPr="00C52F1D">
        <w:t xml:space="preserve"> prostředků mezi účty a </w:t>
      </w:r>
      <w:r w:rsidR="009849A6">
        <w:t xml:space="preserve">trvalými peněžními </w:t>
      </w:r>
      <w:r w:rsidRPr="00C52F1D">
        <w:t>fondy města)</w:t>
      </w:r>
      <w:r w:rsidR="00216DFE">
        <w:t xml:space="preserve"> a </w:t>
      </w:r>
      <w:r w:rsidRPr="00C52F1D">
        <w:t>kapitoly 71 (</w:t>
      </w:r>
      <w:r w:rsidR="00193DFD">
        <w:t>s</w:t>
      </w:r>
      <w:r w:rsidRPr="00C52F1D">
        <w:t>ociální fond - převod prostředků z rozpočtu města do fondu ve schválené výši). Tyto fin</w:t>
      </w:r>
      <w:r w:rsidR="006768BC" w:rsidRPr="00C52F1D">
        <w:t>anční</w:t>
      </w:r>
      <w:r w:rsidRPr="00C52F1D">
        <w:t xml:space="preserve"> operace pouze tzv. nabalují rozpočet a proto je nutná jejich konsolidace </w:t>
      </w:r>
      <w:r w:rsidR="006768BC" w:rsidRPr="00C52F1D">
        <w:t xml:space="preserve">na úrovni organizace </w:t>
      </w:r>
      <w:r w:rsidRPr="00C52F1D">
        <w:t xml:space="preserve">tak, aby byl zjištěn skutečný stav hospodaření běžného účetního období. Na výsledné saldo konsolidace vliv nemá, neboť konsolidační položky vykazují stejné hodnoty jak v příjmech, tak i ve výdajích. </w:t>
      </w:r>
    </w:p>
    <w:p w:rsidR="00A267D5" w:rsidRPr="00C52F1D" w:rsidRDefault="00A267D5" w:rsidP="004A0CFB">
      <w:pPr>
        <w:ind w:firstLine="708"/>
        <w:jc w:val="both"/>
      </w:pPr>
      <w:r w:rsidRPr="00C52F1D">
        <w:t xml:space="preserve">Vlastní položkové plnění </w:t>
      </w:r>
      <w:r w:rsidR="009C6B73">
        <w:t xml:space="preserve">rozpočtových </w:t>
      </w:r>
      <w:r w:rsidRPr="00C52F1D">
        <w:t xml:space="preserve">příjmů a čerpání </w:t>
      </w:r>
      <w:r w:rsidR="009C6B73">
        <w:t xml:space="preserve">rozpočtových </w:t>
      </w:r>
      <w:r w:rsidRPr="00C52F1D">
        <w:t>výdajů je uvedeno v hodnocení jednotlivých kapitol v účetních sestavách “</w:t>
      </w:r>
      <w:r w:rsidRPr="00C52F1D">
        <w:rPr>
          <w:b/>
          <w:bCs/>
        </w:rPr>
        <w:t xml:space="preserve">Rozbor plnění příjmů, resp. čerpání výdajů rozpočtu </w:t>
      </w:r>
      <w:r w:rsidR="006768BC" w:rsidRPr="00C52F1D">
        <w:rPr>
          <w:b/>
          <w:bCs/>
        </w:rPr>
        <w:t>za</w:t>
      </w:r>
      <w:r w:rsidRPr="00C52F1D">
        <w:rPr>
          <w:b/>
          <w:bCs/>
        </w:rPr>
        <w:t xml:space="preserve"> období </w:t>
      </w:r>
      <w:r w:rsidR="009849A6">
        <w:rPr>
          <w:b/>
          <w:bCs/>
        </w:rPr>
        <w:t>0</w:t>
      </w:r>
      <w:r w:rsidRPr="00C52F1D">
        <w:rPr>
          <w:b/>
          <w:bCs/>
        </w:rPr>
        <w:t>6/20</w:t>
      </w:r>
      <w:r w:rsidR="00FC4962">
        <w:rPr>
          <w:b/>
          <w:bCs/>
        </w:rPr>
        <w:t>1</w:t>
      </w:r>
      <w:r w:rsidR="00193DFD">
        <w:rPr>
          <w:b/>
          <w:bCs/>
        </w:rPr>
        <w:t>6</w:t>
      </w:r>
      <w:r w:rsidRPr="00C52F1D">
        <w:t xml:space="preserve">”. </w:t>
      </w:r>
      <w:r w:rsidR="00A11AEC" w:rsidRPr="00C52F1D">
        <w:t xml:space="preserve">V komentáři k hospodaření jednotlivých kapitol jsou rozebrány položky, které vybočují z rámce rozpočtového předpokladu sledovaného období, tzv. vykazují určitou abnormalitu v řádném plnění, resp. čerpání v průběhu sledovaného období oproti matematicky ideálnímu </w:t>
      </w:r>
      <w:proofErr w:type="gramStart"/>
      <w:r w:rsidR="00A11AEC" w:rsidRPr="00C52F1D">
        <w:t>50%</w:t>
      </w:r>
      <w:proofErr w:type="gramEnd"/>
      <w:r w:rsidR="00A11AEC" w:rsidRPr="00C52F1D">
        <w:t xml:space="preserve"> stavu a mají rozhodující finanční vliv na rozpočet kapitoly. </w:t>
      </w:r>
      <w:r w:rsidRPr="00C52F1D">
        <w:t xml:space="preserve">Celkový přehled o hospodaření </w:t>
      </w:r>
      <w:r w:rsidR="009849A6">
        <w:t xml:space="preserve">statutárního </w:t>
      </w:r>
      <w:r w:rsidR="006768BC" w:rsidRPr="00C52F1D">
        <w:t>m</w:t>
      </w:r>
      <w:r w:rsidRPr="00C52F1D">
        <w:t>ěsta Prostějova je uveden v úvodu v sestavách “</w:t>
      </w:r>
      <w:r w:rsidRPr="00C52F1D">
        <w:rPr>
          <w:b/>
          <w:bCs/>
        </w:rPr>
        <w:t xml:space="preserve">Vyhodnocení rozpočtu </w:t>
      </w:r>
      <w:r w:rsidR="001A582A">
        <w:rPr>
          <w:b/>
          <w:bCs/>
        </w:rPr>
        <w:t xml:space="preserve">statutárního </w:t>
      </w:r>
      <w:r w:rsidR="006768BC" w:rsidRPr="00C52F1D">
        <w:rPr>
          <w:b/>
          <w:bCs/>
        </w:rPr>
        <w:t>m</w:t>
      </w:r>
      <w:r w:rsidRPr="00C52F1D">
        <w:rPr>
          <w:b/>
          <w:bCs/>
        </w:rPr>
        <w:t>ěs</w:t>
      </w:r>
      <w:r w:rsidR="006768BC" w:rsidRPr="00C52F1D">
        <w:rPr>
          <w:b/>
          <w:bCs/>
        </w:rPr>
        <w:t xml:space="preserve">ta Prostějova za období </w:t>
      </w:r>
      <w:proofErr w:type="gramStart"/>
      <w:r w:rsidR="006768BC" w:rsidRPr="00C52F1D">
        <w:rPr>
          <w:b/>
          <w:bCs/>
        </w:rPr>
        <w:t>1.1</w:t>
      </w:r>
      <w:proofErr w:type="gramEnd"/>
      <w:r w:rsidR="006768BC" w:rsidRPr="00C52F1D">
        <w:rPr>
          <w:b/>
          <w:bCs/>
        </w:rPr>
        <w:t>.</w:t>
      </w:r>
      <w:r w:rsidRPr="00C52F1D">
        <w:rPr>
          <w:b/>
          <w:bCs/>
        </w:rPr>
        <w:t xml:space="preserve"> – 30.6.20</w:t>
      </w:r>
      <w:r w:rsidR="00FC4962">
        <w:rPr>
          <w:b/>
          <w:bCs/>
        </w:rPr>
        <w:t>1</w:t>
      </w:r>
      <w:r w:rsidR="00193DFD">
        <w:rPr>
          <w:b/>
          <w:bCs/>
        </w:rPr>
        <w:t>6</w:t>
      </w:r>
      <w:r w:rsidRPr="00C52F1D">
        <w:rPr>
          <w:b/>
          <w:bCs/>
        </w:rPr>
        <w:t xml:space="preserve"> v tis. Kč dle kapitol</w:t>
      </w:r>
      <w:r w:rsidRPr="00C52F1D">
        <w:t xml:space="preserve">” (sestavy jsou uvedeny v nekonsolidované i konsolidované podobě) a v sestavě </w:t>
      </w:r>
      <w:r w:rsidRPr="00C52F1D">
        <w:rPr>
          <w:b/>
          <w:bCs/>
        </w:rPr>
        <w:t>“120 – Přehled pro hodnocení plnění rozpočtu územních samospráv</w:t>
      </w:r>
      <w:r w:rsidR="006768BC" w:rsidRPr="00C52F1D">
        <w:rPr>
          <w:b/>
          <w:bCs/>
        </w:rPr>
        <w:t xml:space="preserve">ných celků v Kč za období </w:t>
      </w:r>
      <w:r w:rsidR="009849A6">
        <w:rPr>
          <w:b/>
          <w:bCs/>
        </w:rPr>
        <w:t>0</w:t>
      </w:r>
      <w:r w:rsidR="006768BC" w:rsidRPr="00C52F1D">
        <w:rPr>
          <w:b/>
          <w:bCs/>
        </w:rPr>
        <w:t>6/20</w:t>
      </w:r>
      <w:r w:rsidR="00F75448">
        <w:rPr>
          <w:b/>
          <w:bCs/>
        </w:rPr>
        <w:t>1</w:t>
      </w:r>
      <w:r w:rsidR="00193DFD">
        <w:rPr>
          <w:b/>
          <w:bCs/>
        </w:rPr>
        <w:t>6</w:t>
      </w:r>
      <w:r w:rsidRPr="00C52F1D">
        <w:rPr>
          <w:b/>
          <w:bCs/>
        </w:rPr>
        <w:t>, konsolidace na úrovni vykazující jednotky”</w:t>
      </w:r>
      <w:r w:rsidRPr="00C52F1D">
        <w:t xml:space="preserve">. Tato sestava vlastně vyjadřuje plnění dle jednotlivých tříd, financování, konsolidaci a přehled o změnách stavu prostředků na jednotlivých rozpočtových účtech. </w:t>
      </w:r>
    </w:p>
    <w:p w:rsidR="00A267D5" w:rsidRPr="00C52F1D" w:rsidRDefault="00A267D5" w:rsidP="004A0CFB">
      <w:pPr>
        <w:ind w:firstLine="708"/>
        <w:jc w:val="both"/>
      </w:pPr>
      <w:r w:rsidRPr="00C52F1D">
        <w:t xml:space="preserve">Celý materiál je sestaven do určitých bloků. Do prvního bloku je zařazen úvod, komentující stručně vývoj finančního hospodaření města k </w:t>
      </w:r>
      <w:proofErr w:type="gramStart"/>
      <w:r w:rsidRPr="00C52F1D">
        <w:t>30.6.20</w:t>
      </w:r>
      <w:r w:rsidR="00FC4962">
        <w:t>1</w:t>
      </w:r>
      <w:r w:rsidR="00193DFD">
        <w:t>6</w:t>
      </w:r>
      <w:proofErr w:type="gramEnd"/>
      <w:r w:rsidRPr="00C52F1D">
        <w:t xml:space="preserve"> a plnění příjmové a čerpání výdajové části rozpočtu jako celku v daném období. Tato část obsahuje již zmíněné sestavy </w:t>
      </w:r>
      <w:r w:rsidRPr="00C52F1D">
        <w:rPr>
          <w:b/>
          <w:bCs/>
        </w:rPr>
        <w:t xml:space="preserve">“Vyhodnocení rozpočtu </w:t>
      </w:r>
      <w:r w:rsidR="0090078D">
        <w:rPr>
          <w:b/>
          <w:bCs/>
        </w:rPr>
        <w:t xml:space="preserve">statutárního </w:t>
      </w:r>
      <w:r w:rsidR="006768BC" w:rsidRPr="00C52F1D">
        <w:rPr>
          <w:b/>
          <w:bCs/>
        </w:rPr>
        <w:t>m</w:t>
      </w:r>
      <w:r w:rsidRPr="00C52F1D">
        <w:rPr>
          <w:b/>
          <w:bCs/>
        </w:rPr>
        <w:t xml:space="preserve">ěsta Prostějova za období </w:t>
      </w:r>
      <w:proofErr w:type="gramStart"/>
      <w:r w:rsidRPr="00C52F1D">
        <w:rPr>
          <w:b/>
          <w:bCs/>
        </w:rPr>
        <w:t>1.1</w:t>
      </w:r>
      <w:proofErr w:type="gramEnd"/>
      <w:r w:rsidRPr="00C52F1D">
        <w:rPr>
          <w:b/>
          <w:bCs/>
        </w:rPr>
        <w:t>. – 30.6.20</w:t>
      </w:r>
      <w:r w:rsidR="00FC4962">
        <w:rPr>
          <w:b/>
          <w:bCs/>
        </w:rPr>
        <w:t>1</w:t>
      </w:r>
      <w:r w:rsidR="00193DFD">
        <w:rPr>
          <w:b/>
          <w:bCs/>
        </w:rPr>
        <w:t>6</w:t>
      </w:r>
      <w:r w:rsidRPr="00C52F1D">
        <w:rPr>
          <w:b/>
          <w:bCs/>
        </w:rPr>
        <w:t xml:space="preserve"> v tis. Kč dle kapitol ”</w:t>
      </w:r>
      <w:r w:rsidR="00FC4962">
        <w:rPr>
          <w:bCs/>
        </w:rPr>
        <w:t xml:space="preserve"> v nekonsolidované a konsolidované podobě</w:t>
      </w:r>
      <w:r w:rsidRPr="00C52F1D">
        <w:t xml:space="preserve"> a </w:t>
      </w:r>
      <w:r w:rsidRPr="00C52F1D">
        <w:rPr>
          <w:b/>
          <w:bCs/>
        </w:rPr>
        <w:t xml:space="preserve">“120 – Přehled pro hodnocení plnění rozpočtu územních samosprávných celků v Kč za období </w:t>
      </w:r>
      <w:r w:rsidR="009849A6">
        <w:rPr>
          <w:b/>
          <w:bCs/>
        </w:rPr>
        <w:t>0</w:t>
      </w:r>
      <w:r w:rsidRPr="00C52F1D">
        <w:rPr>
          <w:b/>
          <w:bCs/>
        </w:rPr>
        <w:t>6/20</w:t>
      </w:r>
      <w:r w:rsidR="00FC4962">
        <w:rPr>
          <w:b/>
          <w:bCs/>
        </w:rPr>
        <w:t>1</w:t>
      </w:r>
      <w:r w:rsidR="00193DFD">
        <w:rPr>
          <w:b/>
          <w:bCs/>
        </w:rPr>
        <w:t>6</w:t>
      </w:r>
      <w:r w:rsidRPr="00C52F1D">
        <w:rPr>
          <w:b/>
          <w:bCs/>
        </w:rPr>
        <w:t>, konsolidace na úrovni vykazující jednotky”</w:t>
      </w:r>
      <w:r w:rsidRPr="00C52F1D">
        <w:t xml:space="preserve">. </w:t>
      </w:r>
    </w:p>
    <w:p w:rsidR="00A267D5" w:rsidRPr="00C52F1D" w:rsidRDefault="00A267D5" w:rsidP="004A0CFB">
      <w:pPr>
        <w:ind w:firstLine="708"/>
        <w:jc w:val="both"/>
      </w:pPr>
      <w:r w:rsidRPr="00C52F1D">
        <w:t>Součástí p</w:t>
      </w:r>
      <w:r w:rsidR="006768BC" w:rsidRPr="00C52F1D">
        <w:t>rvního bloku je dále přehled finančních</w:t>
      </w:r>
      <w:r w:rsidRPr="00C52F1D">
        <w:t xml:space="preserve"> zdrojů města</w:t>
      </w:r>
      <w:r w:rsidR="006768BC" w:rsidRPr="00C52F1D">
        <w:t xml:space="preserve"> na účtech, </w:t>
      </w:r>
      <w:r w:rsidRPr="00C52F1D">
        <w:t xml:space="preserve">ve fondech, průběh finančního hospodaření na trvalých peněžních fondech </w:t>
      </w:r>
      <w:r w:rsidR="009849A6">
        <w:t xml:space="preserve">statutárního </w:t>
      </w:r>
      <w:r w:rsidR="006768BC" w:rsidRPr="00C52F1D">
        <w:t>m</w:t>
      </w:r>
      <w:r w:rsidRPr="00C52F1D">
        <w:t>ěsta Prostějova,</w:t>
      </w:r>
      <w:r w:rsidR="006768BC" w:rsidRPr="00C52F1D">
        <w:t xml:space="preserve"> </w:t>
      </w:r>
      <w:r w:rsidR="00193DFD">
        <w:t>uvedení</w:t>
      </w:r>
      <w:r w:rsidR="006768BC" w:rsidRPr="00C52F1D">
        <w:t xml:space="preserve"> podílů města v obchodních </w:t>
      </w:r>
      <w:r w:rsidR="00F26619">
        <w:t>korporacích</w:t>
      </w:r>
      <w:r w:rsidR="006768BC" w:rsidRPr="00C52F1D">
        <w:t>,</w:t>
      </w:r>
      <w:r w:rsidRPr="00C52F1D">
        <w:t xml:space="preserve"> grafy s vývojem plnění, resp. čerpáním položek rozpočtu města </w:t>
      </w:r>
      <w:r w:rsidR="006768BC" w:rsidRPr="00C52F1D">
        <w:t>z</w:t>
      </w:r>
      <w:r w:rsidR="00EA10BF">
        <w:t>a</w:t>
      </w:r>
      <w:r w:rsidR="006768BC" w:rsidRPr="00C52F1D">
        <w:t xml:space="preserve"> sledované období </w:t>
      </w:r>
      <w:r w:rsidRPr="00C52F1D">
        <w:t xml:space="preserve">a přehled </w:t>
      </w:r>
      <w:r w:rsidR="004A0CFB">
        <w:t>s komentářem</w:t>
      </w:r>
      <w:r w:rsidRPr="00C52F1D">
        <w:t xml:space="preserve"> k vývoji inkasa </w:t>
      </w:r>
      <w:r w:rsidR="00F75448">
        <w:t xml:space="preserve">sdílených </w:t>
      </w:r>
      <w:r w:rsidRPr="00C52F1D">
        <w:t xml:space="preserve">daní </w:t>
      </w:r>
      <w:r w:rsidR="00F75448">
        <w:t>a daně z</w:t>
      </w:r>
      <w:r w:rsidR="00193DFD">
        <w:t> nemovitých věcí</w:t>
      </w:r>
      <w:r w:rsidR="00F75448">
        <w:t xml:space="preserve"> </w:t>
      </w:r>
      <w:r w:rsidR="006768BC" w:rsidRPr="00C52F1D">
        <w:t>v hodnoceném</w:t>
      </w:r>
      <w:r w:rsidRPr="00C52F1D">
        <w:t xml:space="preserve"> období </w:t>
      </w:r>
      <w:r w:rsidR="009849A6">
        <w:t xml:space="preserve">roku </w:t>
      </w:r>
      <w:r w:rsidRPr="00C52F1D">
        <w:t>20</w:t>
      </w:r>
      <w:r w:rsidR="00C97643">
        <w:t>1</w:t>
      </w:r>
      <w:r w:rsidR="00193DFD">
        <w:t>6</w:t>
      </w:r>
      <w:r w:rsidRPr="00C52F1D">
        <w:t xml:space="preserve">. </w:t>
      </w:r>
    </w:p>
    <w:p w:rsidR="004A0CFB" w:rsidRPr="0090078D" w:rsidRDefault="00A267D5" w:rsidP="0090078D">
      <w:pPr>
        <w:pStyle w:val="Zkladntext2"/>
        <w:ind w:firstLine="708"/>
        <w:rPr>
          <w:sz w:val="24"/>
          <w:szCs w:val="24"/>
        </w:rPr>
      </w:pPr>
      <w:r w:rsidRPr="00C52F1D">
        <w:rPr>
          <w:sz w:val="20"/>
          <w:szCs w:val="20"/>
        </w:rPr>
        <w:t>Ve druhém bloku jsou uvedeny výsledky hospodaření jednotlivých kapitol. Jak již bylo uvedeno výše, součástí rozborů hospodaření jednotlivých kapitol je komentář k položkám, které vykázaly určitou abnormalitu v čerpání či plnění rozpočtu. Kapitoly, které</w:t>
      </w:r>
      <w:r w:rsidR="00A4071D" w:rsidRPr="00C52F1D">
        <w:rPr>
          <w:sz w:val="20"/>
          <w:szCs w:val="20"/>
        </w:rPr>
        <w:t xml:space="preserve"> metodicky</w:t>
      </w:r>
      <w:r w:rsidRPr="00C52F1D">
        <w:rPr>
          <w:sz w:val="20"/>
          <w:szCs w:val="20"/>
        </w:rPr>
        <w:t xml:space="preserve"> řídí </w:t>
      </w:r>
      <w:r w:rsidR="00A4071D" w:rsidRPr="00C52F1D">
        <w:rPr>
          <w:sz w:val="20"/>
          <w:szCs w:val="20"/>
        </w:rPr>
        <w:t>příspěvkové organizace</w:t>
      </w:r>
      <w:r w:rsidR="00EA10BF">
        <w:rPr>
          <w:sz w:val="20"/>
          <w:szCs w:val="20"/>
        </w:rPr>
        <w:t>,</w:t>
      </w:r>
      <w:r w:rsidR="00A4071D" w:rsidRPr="00C52F1D">
        <w:rPr>
          <w:sz w:val="20"/>
          <w:szCs w:val="20"/>
        </w:rPr>
        <w:t xml:space="preserve"> </w:t>
      </w:r>
      <w:r w:rsidRPr="00C52F1D">
        <w:rPr>
          <w:sz w:val="20"/>
          <w:szCs w:val="20"/>
        </w:rPr>
        <w:t>jejichž zřizovatelem je město, obsahují i komentář</w:t>
      </w:r>
      <w:r w:rsidR="009849A6">
        <w:rPr>
          <w:sz w:val="20"/>
          <w:szCs w:val="20"/>
        </w:rPr>
        <w:t>e</w:t>
      </w:r>
      <w:r w:rsidRPr="00C52F1D">
        <w:rPr>
          <w:sz w:val="20"/>
          <w:szCs w:val="20"/>
        </w:rPr>
        <w:t xml:space="preserve"> a tab</w:t>
      </w:r>
      <w:r w:rsidR="009849A6">
        <w:rPr>
          <w:sz w:val="20"/>
          <w:szCs w:val="20"/>
        </w:rPr>
        <w:t>ulky</w:t>
      </w:r>
      <w:r w:rsidRPr="00C52F1D">
        <w:rPr>
          <w:sz w:val="20"/>
          <w:szCs w:val="20"/>
        </w:rPr>
        <w:t xml:space="preserve"> hospodaření s vybranými ukazateli fin</w:t>
      </w:r>
      <w:r w:rsidR="00A4071D" w:rsidRPr="00C52F1D">
        <w:rPr>
          <w:sz w:val="20"/>
          <w:szCs w:val="20"/>
        </w:rPr>
        <w:t>ančního</w:t>
      </w:r>
      <w:r w:rsidRPr="00C52F1D">
        <w:rPr>
          <w:sz w:val="20"/>
          <w:szCs w:val="20"/>
        </w:rPr>
        <w:t xml:space="preserve"> a hmot</w:t>
      </w:r>
      <w:r w:rsidR="00A4071D" w:rsidRPr="00C52F1D">
        <w:rPr>
          <w:sz w:val="20"/>
          <w:szCs w:val="20"/>
        </w:rPr>
        <w:t>ného</w:t>
      </w:r>
      <w:r w:rsidR="0090078D">
        <w:rPr>
          <w:sz w:val="20"/>
          <w:szCs w:val="20"/>
        </w:rPr>
        <w:t xml:space="preserve"> plánu těchto organizací</w:t>
      </w:r>
    </w:p>
    <w:p w:rsidR="00A56FFB" w:rsidRDefault="00A56FFB" w:rsidP="00825ADD">
      <w:pPr>
        <w:jc w:val="both"/>
      </w:pPr>
    </w:p>
    <w:p w:rsidR="00A267D5" w:rsidRPr="00AC1B68" w:rsidRDefault="00C73D38" w:rsidP="00825ADD">
      <w:pPr>
        <w:jc w:val="both"/>
        <w:rPr>
          <w:b/>
          <w:bCs/>
        </w:rPr>
      </w:pPr>
      <w:r w:rsidRPr="00AC1B68">
        <w:t xml:space="preserve">  </w:t>
      </w:r>
      <w:r w:rsidRPr="00AC1B68">
        <w:rPr>
          <w:u w:val="single"/>
        </w:rPr>
        <w:t xml:space="preserve">  </w:t>
      </w:r>
    </w:p>
    <w:p w:rsidR="00A267D5" w:rsidRPr="00C52F1D" w:rsidRDefault="00A267D5" w:rsidP="00825ADD">
      <w:pPr>
        <w:pStyle w:val="Nadpis4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r w:rsidRPr="00CA7CFF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Kontrolní dny</w:t>
      </w:r>
    </w:p>
    <w:p w:rsidR="00A267D5" w:rsidRPr="00AC1B68" w:rsidRDefault="00A267D5" w:rsidP="00825ADD">
      <w:pPr>
        <w:jc w:val="both"/>
        <w:rPr>
          <w:b/>
          <w:bCs/>
        </w:rPr>
      </w:pPr>
    </w:p>
    <w:p w:rsidR="004824FC" w:rsidRPr="00C52F1D" w:rsidRDefault="00A267D5" w:rsidP="00825ADD">
      <w:pPr>
        <w:jc w:val="both"/>
      </w:pPr>
      <w:r w:rsidRPr="00C52F1D">
        <w:tab/>
        <w:t xml:space="preserve">Ve všech příspěvkových organizacích (dále jen PO) zřízených </w:t>
      </w:r>
      <w:r w:rsidR="00CA2EB0">
        <w:t xml:space="preserve">statutárním </w:t>
      </w:r>
      <w:r w:rsidR="00491358" w:rsidRPr="00C52F1D">
        <w:t>m</w:t>
      </w:r>
      <w:r w:rsidRPr="00C52F1D">
        <w:t>ěstem Prostějovem proběhly v období 7/20</w:t>
      </w:r>
      <w:r w:rsidR="00EC02A5">
        <w:t>1</w:t>
      </w:r>
      <w:r w:rsidR="00B23BCC">
        <w:t>6</w:t>
      </w:r>
      <w:r w:rsidRPr="00C52F1D">
        <w:t xml:space="preserve"> kontrolní dny (dále jen KD) k</w:t>
      </w:r>
      <w:r w:rsidR="004C0156">
        <w:t xml:space="preserve"> průběžným </w:t>
      </w:r>
      <w:r w:rsidRPr="00C52F1D">
        <w:t xml:space="preserve">výsledkům hospodaření organizací za I. </w:t>
      </w:r>
      <w:r w:rsidR="00491358" w:rsidRPr="00C52F1D">
        <w:t>pololetí</w:t>
      </w:r>
      <w:r w:rsidR="004C0156">
        <w:t xml:space="preserve"> </w:t>
      </w:r>
      <w:r w:rsidRPr="00C52F1D">
        <w:t>20</w:t>
      </w:r>
      <w:r w:rsidR="00EC02A5">
        <w:t>1</w:t>
      </w:r>
      <w:r w:rsidR="00B23BCC">
        <w:t>6</w:t>
      </w:r>
      <w:r w:rsidRPr="00C52F1D">
        <w:t xml:space="preserve">. Byly zaměřeny na analýzu výnosů, nákladů, fondového hospodaření organizací, rozbor pohledávek a závazků (v případě pohledávek po lhůtě splatnosti na jejich vymáhání), rozbor dosaženého průběžného </w:t>
      </w:r>
      <w:r w:rsidR="0020182A">
        <w:t>výsledku hospodaření</w:t>
      </w:r>
      <w:r w:rsidRPr="00C52F1D">
        <w:t xml:space="preserve"> (dále jen </w:t>
      </w:r>
      <w:r w:rsidR="0020182A">
        <w:t>VH</w:t>
      </w:r>
      <w:r w:rsidRPr="00C52F1D">
        <w:t xml:space="preserve">) v hlavní činnosti a rozbor průběžného </w:t>
      </w:r>
      <w:r w:rsidR="0020182A">
        <w:t>VH</w:t>
      </w:r>
      <w:r w:rsidRPr="00C52F1D">
        <w:t xml:space="preserve"> v doplňkové činnosti (dále jen DČ), pokud tuto organizace vykonává. Bylo vycházeno z předložených rozborových zpráv o</w:t>
      </w:r>
      <w:r w:rsidR="004C0156">
        <w:t xml:space="preserve"> průběžném</w:t>
      </w:r>
      <w:r w:rsidRPr="00C52F1D">
        <w:t xml:space="preserve"> hospodaření jednotlivých organizací, účetních výkazů za sledované období (rozvaha, výkaz zisku a ztráty PO, příloh</w:t>
      </w:r>
      <w:r w:rsidR="001C7122">
        <w:t>y</w:t>
      </w:r>
      <w:r w:rsidRPr="00C52F1D">
        <w:t>) a z odpovědí na ústní dotazy, objasňující některé záležitosti, které nebyly součástí rozborové zprávy. KD rovněž sloužily k projednání potřebných informací ze strany zřizovatele směrem k organizacím a naopak</w:t>
      </w:r>
      <w:r w:rsidR="00B23BCC">
        <w:t>, zvláště pak potřeb ohledně svěřených nemovitostí</w:t>
      </w:r>
      <w:r w:rsidRPr="00C52F1D">
        <w:t xml:space="preserve">. V hodnocení </w:t>
      </w:r>
      <w:r w:rsidR="004C0156">
        <w:t xml:space="preserve">průběžného </w:t>
      </w:r>
      <w:r w:rsidRPr="00C52F1D">
        <w:t xml:space="preserve">hospodaření jednotlivých organizací, v rámci příslušné kapitoly, je uveden stručně rozbor dosaženého průběžného </w:t>
      </w:r>
      <w:r w:rsidR="00284D57">
        <w:t>VH</w:t>
      </w:r>
      <w:r w:rsidR="00CA2EB0">
        <w:t xml:space="preserve"> v oblasti HČ, popř. DČ,</w:t>
      </w:r>
      <w:r w:rsidR="00085163">
        <w:t xml:space="preserve"> </w:t>
      </w:r>
      <w:r w:rsidRPr="00C52F1D">
        <w:t>fondové hospodaření organizace během sledovaného období (počáteční stav-zdroje-čerpání-konečný stav</w:t>
      </w:r>
      <w:r w:rsidR="00CA2EB0">
        <w:t>,</w:t>
      </w:r>
      <w:r w:rsidR="00B23BCC">
        <w:t xml:space="preserve"> finanční stavy fondů, komentář k čerpání fondů</w:t>
      </w:r>
      <w:r w:rsidRPr="00C52F1D">
        <w:t>)</w:t>
      </w:r>
      <w:r w:rsidR="00CA2EB0">
        <w:t>, rozbor krátkodobých pohledávek, popř. závazků po lhůtě splatnosti s uvedením způsobu jejich vymáhání, popř. uhrazení, přehled přijatých darů, úpravy finančního plánu organizace</w:t>
      </w:r>
      <w:r w:rsidR="004C0156">
        <w:t xml:space="preserve"> v HČ a DČ, </w:t>
      </w:r>
      <w:r w:rsidR="00CA2EB0">
        <w:t>závěry, popř. opatření, které vyplynuly z jednání KD</w:t>
      </w:r>
      <w:r w:rsidR="00085163">
        <w:t xml:space="preserve"> a další skutečnosti o hodnocené organizaci</w:t>
      </w:r>
      <w:r w:rsidR="00CA2EB0">
        <w:t>.</w:t>
      </w:r>
      <w:r w:rsidRPr="00C52F1D">
        <w:t xml:space="preserve"> Ve všech organizacích byly projednány navíc následující body všeobecného charakteru:</w:t>
      </w:r>
    </w:p>
    <w:p w:rsidR="004824FC" w:rsidRDefault="004824FC" w:rsidP="00825ADD">
      <w:pPr>
        <w:pStyle w:val="ZkladntextIMP"/>
        <w:numPr>
          <w:ilvl w:val="0"/>
          <w:numId w:val="3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1D">
        <w:rPr>
          <w:rFonts w:ascii="Times New Roman" w:hAnsi="Times New Roman" w:cs="Times New Roman"/>
          <w:sz w:val="20"/>
          <w:szCs w:val="20"/>
        </w:rPr>
        <w:t>Byla p</w:t>
      </w:r>
      <w:r w:rsidR="00BC029B">
        <w:rPr>
          <w:rFonts w:ascii="Times New Roman" w:hAnsi="Times New Roman" w:cs="Times New Roman"/>
          <w:sz w:val="20"/>
          <w:szCs w:val="20"/>
        </w:rPr>
        <w:t xml:space="preserve">rovedena kontrola a srovnání </w:t>
      </w:r>
      <w:r w:rsidR="00085163">
        <w:rPr>
          <w:rFonts w:ascii="Times New Roman" w:hAnsi="Times New Roman" w:cs="Times New Roman"/>
          <w:sz w:val="20"/>
          <w:szCs w:val="20"/>
        </w:rPr>
        <w:t>výnosových a</w:t>
      </w:r>
      <w:r w:rsidRPr="00C52F1D">
        <w:rPr>
          <w:rFonts w:ascii="Times New Roman" w:hAnsi="Times New Roman" w:cs="Times New Roman"/>
          <w:sz w:val="20"/>
          <w:szCs w:val="20"/>
        </w:rPr>
        <w:t xml:space="preserve"> </w:t>
      </w:r>
      <w:r w:rsidR="00782F7C">
        <w:rPr>
          <w:rFonts w:ascii="Times New Roman" w:hAnsi="Times New Roman" w:cs="Times New Roman"/>
          <w:sz w:val="20"/>
          <w:szCs w:val="20"/>
        </w:rPr>
        <w:t>nákladových</w:t>
      </w:r>
      <w:r w:rsidRPr="00C52F1D">
        <w:rPr>
          <w:rFonts w:ascii="Times New Roman" w:hAnsi="Times New Roman" w:cs="Times New Roman"/>
          <w:sz w:val="20"/>
          <w:szCs w:val="20"/>
        </w:rPr>
        <w:t xml:space="preserve"> </w:t>
      </w:r>
      <w:r w:rsidRPr="00085163">
        <w:rPr>
          <w:rFonts w:ascii="Times New Roman" w:hAnsi="Times New Roman" w:cs="Times New Roman"/>
          <w:sz w:val="20"/>
          <w:szCs w:val="20"/>
        </w:rPr>
        <w:t>analytických</w:t>
      </w:r>
      <w:r w:rsidRPr="00C52F1D">
        <w:rPr>
          <w:rFonts w:ascii="Times New Roman" w:hAnsi="Times New Roman" w:cs="Times New Roman"/>
          <w:sz w:val="20"/>
          <w:szCs w:val="20"/>
        </w:rPr>
        <w:t xml:space="preserve"> účtů</w:t>
      </w:r>
      <w:r w:rsidR="00085163">
        <w:rPr>
          <w:rFonts w:ascii="Times New Roman" w:hAnsi="Times New Roman" w:cs="Times New Roman"/>
          <w:sz w:val="20"/>
          <w:szCs w:val="20"/>
        </w:rPr>
        <w:t>,</w:t>
      </w:r>
      <w:r w:rsidR="00CA2EB0">
        <w:rPr>
          <w:rFonts w:ascii="Times New Roman" w:hAnsi="Times New Roman" w:cs="Times New Roman"/>
          <w:sz w:val="20"/>
          <w:szCs w:val="20"/>
        </w:rPr>
        <w:t xml:space="preserve"> které vykázaly oproti </w:t>
      </w:r>
      <w:r w:rsidR="00B23BCC">
        <w:rPr>
          <w:rFonts w:ascii="Times New Roman" w:hAnsi="Times New Roman" w:cs="Times New Roman"/>
          <w:sz w:val="20"/>
          <w:szCs w:val="20"/>
        </w:rPr>
        <w:t>minulému roku</w:t>
      </w:r>
      <w:r w:rsidR="00085163">
        <w:rPr>
          <w:rFonts w:ascii="Times New Roman" w:hAnsi="Times New Roman" w:cs="Times New Roman"/>
          <w:sz w:val="20"/>
          <w:szCs w:val="20"/>
        </w:rPr>
        <w:t xml:space="preserve"> </w:t>
      </w:r>
      <w:r w:rsidR="00CA2EB0">
        <w:rPr>
          <w:rFonts w:ascii="Times New Roman" w:hAnsi="Times New Roman" w:cs="Times New Roman"/>
          <w:sz w:val="20"/>
          <w:szCs w:val="20"/>
        </w:rPr>
        <w:t xml:space="preserve">vyšší </w:t>
      </w:r>
      <w:r w:rsidR="00085163">
        <w:rPr>
          <w:rFonts w:ascii="Times New Roman" w:hAnsi="Times New Roman" w:cs="Times New Roman"/>
          <w:sz w:val="20"/>
          <w:szCs w:val="20"/>
        </w:rPr>
        <w:t>nebo naopak nižší pololetní plnění či čerpání.</w:t>
      </w:r>
      <w:r w:rsidR="00B23BCC">
        <w:rPr>
          <w:rFonts w:ascii="Times New Roman" w:hAnsi="Times New Roman" w:cs="Times New Roman"/>
          <w:sz w:val="20"/>
          <w:szCs w:val="20"/>
        </w:rPr>
        <w:t xml:space="preserve"> K těmto položkám byl podán ústní komentář ze strany ředitelů organizací.</w:t>
      </w:r>
    </w:p>
    <w:p w:rsidR="008A4CEA" w:rsidRDefault="008A4CEA" w:rsidP="00825ADD">
      <w:pPr>
        <w:pStyle w:val="ZkladntextIMP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Organizace byly na základě soupisu majetku upozorněny na morálně zastaralý a nefunkční majetek, pokud takový vlastní a jeho urychlené vyřazení z majetkové evidence</w:t>
      </w:r>
      <w:r w:rsidR="00B23BCC">
        <w:rPr>
          <w:rFonts w:ascii="Times New Roman" w:hAnsi="Times New Roman" w:cs="Times New Roman"/>
          <w:sz w:val="20"/>
          <w:szCs w:val="20"/>
        </w:rPr>
        <w:t xml:space="preserve"> a obnovu (např. počítače, tiskárny, kopírky apod.).</w:t>
      </w:r>
    </w:p>
    <w:p w:rsidR="00F4448B" w:rsidRPr="00C52F1D" w:rsidRDefault="00F4448B" w:rsidP="00825ADD">
      <w:pPr>
        <w:pStyle w:val="ZkladntextIMP"/>
        <w:numPr>
          <w:ilvl w:val="0"/>
          <w:numId w:val="3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základě prohlídky svěřených budov byly sepsány požadavky na nejnutnější provedení oprav a údržby předmětných nemovitostí.</w:t>
      </w:r>
    </w:p>
    <w:p w:rsidR="00A267D5" w:rsidRPr="00C52F1D" w:rsidRDefault="00A267D5" w:rsidP="00825ADD">
      <w:pPr>
        <w:numPr>
          <w:ilvl w:val="12"/>
          <w:numId w:val="0"/>
        </w:numPr>
        <w:ind w:firstLine="708"/>
        <w:jc w:val="both"/>
      </w:pPr>
      <w:r w:rsidRPr="00C52F1D">
        <w:t xml:space="preserve">Z každého jednání KD byl pořízen </w:t>
      </w:r>
      <w:r w:rsidR="00782F7C">
        <w:t>elektronický</w:t>
      </w:r>
      <w:r w:rsidRPr="00C52F1D">
        <w:t xml:space="preserve"> záznam. </w:t>
      </w:r>
      <w:r w:rsidRPr="00F4448B">
        <w:rPr>
          <w:b/>
          <w:u w:val="single"/>
        </w:rPr>
        <w:t xml:space="preserve">Jednání KD se nezabývalo dokladovou kontrolou vytváření zdrojů </w:t>
      </w:r>
      <w:r w:rsidR="00F4448B">
        <w:rPr>
          <w:b/>
          <w:u w:val="single"/>
        </w:rPr>
        <w:t xml:space="preserve">ve výnosech </w:t>
      </w:r>
      <w:r w:rsidRPr="00F4448B">
        <w:rPr>
          <w:b/>
          <w:u w:val="single"/>
        </w:rPr>
        <w:t xml:space="preserve">a užití finančních prostředků v nákladových účtech. Toto je předmětem jiné kontrolní činnosti </w:t>
      </w:r>
      <w:r w:rsidR="00DF28ED" w:rsidRPr="00F4448B">
        <w:rPr>
          <w:b/>
          <w:u w:val="single"/>
        </w:rPr>
        <w:t>MMPv</w:t>
      </w:r>
      <w:r w:rsidRPr="00F4448B">
        <w:rPr>
          <w:b/>
          <w:u w:val="single"/>
        </w:rPr>
        <w:t>.</w:t>
      </w:r>
      <w:r w:rsidRPr="00C52F1D">
        <w:t xml:space="preserve"> Kompletní materiály k rozborům (rozborové zprávy, účetní sestavy a záznamy z KD) jsou uloženy na Finančním odboru (dále jen FO) </w:t>
      </w:r>
      <w:r w:rsidR="00DF28ED">
        <w:t>MMPv</w:t>
      </w:r>
      <w:r w:rsidRPr="00C52F1D">
        <w:t xml:space="preserve"> a jsou k dispozici k nahlédnutí představitelům a orgánům města.</w:t>
      </w:r>
    </w:p>
    <w:p w:rsidR="0041004E" w:rsidRPr="00AC1B68" w:rsidRDefault="0041004E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5ADD" w:rsidRPr="00AC1B68" w:rsidRDefault="00825ADD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</w:p>
    <w:p w:rsidR="00A267D5" w:rsidRPr="00C52F1D" w:rsidRDefault="00A267D5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Úprava schváleného rozpočtu ROZOP v období </w:t>
      </w:r>
      <w:proofErr w:type="gramStart"/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1.1. </w:t>
      </w:r>
      <w:r w:rsidR="009C69CE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až</w:t>
      </w:r>
      <w:proofErr w:type="gramEnd"/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30.6.20</w:t>
      </w:r>
      <w:r w:rsidR="001A0084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49148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6</w:t>
      </w:r>
    </w:p>
    <w:p w:rsidR="00A267D5" w:rsidRPr="00AC1B68" w:rsidRDefault="00A267D5" w:rsidP="00825AD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B2029A" w:rsidRDefault="00A267D5" w:rsidP="005958B1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sz w:val="20"/>
          <w:szCs w:val="20"/>
        </w:rPr>
        <w:tab/>
      </w:r>
      <w:r w:rsidR="0049148C">
        <w:rPr>
          <w:rFonts w:ascii="Times New Roman" w:hAnsi="Times New Roman" w:cs="Times New Roman"/>
          <w:sz w:val="20"/>
          <w:szCs w:val="20"/>
        </w:rPr>
        <w:t>S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chválený rozpočet </w:t>
      </w:r>
      <w:r w:rsidR="009C69C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statutárního </w:t>
      </w:r>
      <w:r w:rsidR="00AE4C70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m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ěsta Prostějova pro rok 20</w:t>
      </w:r>
      <w:r w:rsidR="0041004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9148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byl během I. pol</w:t>
      </w:r>
      <w:r w:rsidR="00AE4C70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oletí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</w:t>
      </w:r>
      <w:r w:rsidR="0041004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9148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upraven na základě ROZOP č</w:t>
      </w:r>
      <w:r w:rsidRPr="00C52F1D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.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 – </w:t>
      </w:r>
      <w:r w:rsidR="0049148C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47B0C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/20</w:t>
      </w:r>
      <w:r w:rsidR="0041004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9148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41004E" w:rsidRPr="0041004E" w:rsidRDefault="0041004E" w:rsidP="005958B1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C52F1D" w:rsidRDefault="00A267D5" w:rsidP="005958B1">
      <w:pPr>
        <w:pStyle w:val="Zkladntext3"/>
        <w:numPr>
          <w:ilvl w:val="0"/>
          <w:numId w:val="2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oblasti příjmů, navýšením částky o </w:t>
      </w:r>
      <w:r w:rsidR="0049148C">
        <w:rPr>
          <w:rFonts w:ascii="Times New Roman" w:hAnsi="Times New Roman" w:cs="Times New Roman"/>
          <w:sz w:val="20"/>
          <w:szCs w:val="20"/>
        </w:rPr>
        <w:t>17.617.920,14</w:t>
      </w:r>
      <w:r w:rsidR="00B84D4F">
        <w:rPr>
          <w:rFonts w:ascii="Times New Roman" w:hAnsi="Times New Roman" w:cs="Times New Roman"/>
          <w:sz w:val="20"/>
          <w:szCs w:val="20"/>
        </w:rPr>
        <w:t xml:space="preserve"> </w:t>
      </w:r>
      <w:r w:rsidRPr="00C52F1D">
        <w:rPr>
          <w:rFonts w:ascii="Times New Roman" w:hAnsi="Times New Roman" w:cs="Times New Roman"/>
          <w:sz w:val="20"/>
          <w:szCs w:val="20"/>
        </w:rPr>
        <w:t>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49148C">
        <w:rPr>
          <w:rFonts w:ascii="Times New Roman" w:hAnsi="Times New Roman" w:cs="Times New Roman"/>
          <w:sz w:val="20"/>
          <w:szCs w:val="20"/>
        </w:rPr>
        <w:t>784.079.290</w:t>
      </w:r>
      <w:r w:rsidR="0083523F">
        <w:rPr>
          <w:rFonts w:ascii="Times New Roman" w:hAnsi="Times New Roman" w:cs="Times New Roman"/>
          <w:sz w:val="20"/>
          <w:szCs w:val="20"/>
        </w:rPr>
        <w:t xml:space="preserve"> </w:t>
      </w:r>
      <w:r w:rsidR="00B84D4F" w:rsidRPr="00C52F1D">
        <w:rPr>
          <w:rFonts w:ascii="Times New Roman" w:hAnsi="Times New Roman" w:cs="Times New Roman"/>
          <w:sz w:val="20"/>
          <w:szCs w:val="20"/>
        </w:rPr>
        <w:t xml:space="preserve">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49148C">
        <w:rPr>
          <w:rFonts w:ascii="Times New Roman" w:hAnsi="Times New Roman" w:cs="Times New Roman"/>
          <w:sz w:val="20"/>
          <w:szCs w:val="20"/>
        </w:rPr>
        <w:t>801.697.210,14</w:t>
      </w:r>
      <w:r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8E3B77">
        <w:rPr>
          <w:rFonts w:ascii="Times New Roman" w:hAnsi="Times New Roman" w:cs="Times New Roman"/>
          <w:b w:val="0"/>
          <w:bCs w:val="0"/>
          <w:sz w:val="20"/>
          <w:szCs w:val="20"/>
        </w:rPr>
        <w:t>ne</w:t>
      </w:r>
      <w:r w:rsidR="00DC7D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daňové příjmy zvýšeny o </w:t>
      </w:r>
      <w:r w:rsidR="00E8119B">
        <w:rPr>
          <w:rFonts w:ascii="Times New Roman" w:hAnsi="Times New Roman" w:cs="Times New Roman"/>
          <w:b w:val="0"/>
          <w:bCs w:val="0"/>
          <w:sz w:val="20"/>
          <w:szCs w:val="20"/>
        </w:rPr>
        <w:t>3.216.412,14</w:t>
      </w:r>
      <w:r w:rsidR="00DC7D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zejména v oblasti odvodů příspěvkových organizací ve výši cca </w:t>
      </w:r>
      <w:r w:rsidR="00522418">
        <w:rPr>
          <w:rFonts w:ascii="Times New Roman" w:hAnsi="Times New Roman" w:cs="Times New Roman"/>
          <w:b w:val="0"/>
          <w:bCs w:val="0"/>
          <w:sz w:val="20"/>
          <w:szCs w:val="20"/>
        </w:rPr>
        <w:t>2,06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mil. Kč</w:t>
      </w:r>
      <w:r w:rsidR="00522418">
        <w:rPr>
          <w:rFonts w:ascii="Times New Roman" w:hAnsi="Times New Roman" w:cs="Times New Roman"/>
          <w:b w:val="0"/>
          <w:bCs w:val="0"/>
          <w:sz w:val="20"/>
          <w:szCs w:val="20"/>
        </w:rPr>
        <w:t>, a to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převážně z odpisů </w:t>
      </w:r>
      <w:r w:rsidR="009043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svěřeného 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>majetku</w:t>
      </w:r>
      <w:r w:rsidR="00DC7DB2"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  <w:r w:rsidR="00EB3209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224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kapitálové příjmy zvýšeny o 300.000 Kč – přijaté příspěvky na pořízení dlouhodobého majetku;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přijaté </w:t>
      </w:r>
      <w:r w:rsidR="00493C0C">
        <w:rPr>
          <w:rFonts w:ascii="Times New Roman" w:hAnsi="Times New Roman" w:cs="Times New Roman"/>
          <w:b w:val="0"/>
          <w:bCs w:val="0"/>
          <w:sz w:val="20"/>
          <w:szCs w:val="20"/>
        </w:rPr>
        <w:t>transfery zvýšeny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</w:t>
      </w:r>
      <w:r w:rsidR="00522418">
        <w:rPr>
          <w:rFonts w:ascii="Times New Roman" w:hAnsi="Times New Roman" w:cs="Times New Roman"/>
          <w:b w:val="0"/>
          <w:bCs w:val="0"/>
          <w:sz w:val="20"/>
          <w:szCs w:val="20"/>
        </w:rPr>
        <w:t>14.101.508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9E1B3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dotační tituly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),</w:t>
      </w:r>
    </w:p>
    <w:p w:rsidR="00A267D5" w:rsidRPr="00C52F1D" w:rsidRDefault="00A267D5" w:rsidP="005958B1">
      <w:pPr>
        <w:pStyle w:val="Zkladntext3"/>
        <w:numPr>
          <w:ilvl w:val="0"/>
          <w:numId w:val="2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oblasti výdajů, navýšením částky o </w:t>
      </w:r>
      <w:r w:rsidR="00B8327F">
        <w:rPr>
          <w:rFonts w:ascii="Times New Roman" w:hAnsi="Times New Roman" w:cs="Times New Roman"/>
          <w:sz w:val="20"/>
          <w:szCs w:val="20"/>
        </w:rPr>
        <w:t>95.324.974</w:t>
      </w:r>
      <w:r w:rsidR="009043BA">
        <w:rPr>
          <w:rFonts w:ascii="Times New Roman" w:hAnsi="Times New Roman" w:cs="Times New Roman"/>
          <w:sz w:val="20"/>
          <w:szCs w:val="20"/>
        </w:rPr>
        <w:t xml:space="preserve"> 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B8327F">
        <w:rPr>
          <w:rFonts w:ascii="Times New Roman" w:hAnsi="Times New Roman" w:cs="Times New Roman"/>
          <w:sz w:val="20"/>
          <w:szCs w:val="20"/>
        </w:rPr>
        <w:t>854.405.690</w:t>
      </w:r>
      <w:r w:rsidR="00B84D4F"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B8327F">
        <w:rPr>
          <w:rFonts w:ascii="Times New Roman" w:hAnsi="Times New Roman" w:cs="Times New Roman"/>
          <w:sz w:val="20"/>
          <w:szCs w:val="20"/>
        </w:rPr>
        <w:t>949.730.664</w:t>
      </w:r>
      <w:r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(běžné výdaje </w:t>
      </w:r>
      <w:r w:rsidR="00493C0C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7910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 </w:t>
      </w:r>
      <w:r w:rsidR="00B8327F">
        <w:rPr>
          <w:rFonts w:ascii="Times New Roman" w:hAnsi="Times New Roman" w:cs="Times New Roman"/>
          <w:b w:val="0"/>
          <w:bCs w:val="0"/>
          <w:sz w:val="20"/>
          <w:szCs w:val="20"/>
        </w:rPr>
        <w:t>32.796.720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9043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zejména v oblasti neinvestičních nákupů a souvisejících výdajů ve výši </w:t>
      </w:r>
      <w:r w:rsidR="00B8327F">
        <w:rPr>
          <w:rFonts w:ascii="Times New Roman" w:hAnsi="Times New Roman" w:cs="Times New Roman"/>
          <w:b w:val="0"/>
          <w:bCs w:val="0"/>
          <w:sz w:val="20"/>
          <w:szCs w:val="20"/>
        </w:rPr>
        <w:t>21,81</w:t>
      </w:r>
      <w:r w:rsidR="009043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mil. Kč</w:t>
      </w:r>
      <w:r w:rsidR="000C2C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r w:rsidR="005C38CC">
        <w:rPr>
          <w:rFonts w:ascii="Times New Roman" w:hAnsi="Times New Roman" w:cs="Times New Roman"/>
          <w:b w:val="0"/>
          <w:bCs w:val="0"/>
          <w:sz w:val="20"/>
          <w:szCs w:val="20"/>
        </w:rPr>
        <w:t>převážně</w:t>
      </w:r>
      <w:r w:rsidR="005B19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350F9">
        <w:rPr>
          <w:rFonts w:ascii="Times New Roman" w:hAnsi="Times New Roman" w:cs="Times New Roman"/>
          <w:b w:val="0"/>
          <w:bCs w:val="0"/>
          <w:sz w:val="20"/>
          <w:szCs w:val="20"/>
        </w:rPr>
        <w:t>se jednalo</w:t>
      </w:r>
      <w:r w:rsidR="005B19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ostatní nákupy – 9,17 mil. Kč</w:t>
      </w:r>
      <w:r w:rsidR="003350F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</w:t>
      </w:r>
      <w:r w:rsidR="005B19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nákupy služeb – 11,88 mil.</w:t>
      </w:r>
      <w:r w:rsidR="003350F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).</w:t>
      </w:r>
    </w:p>
    <w:p w:rsidR="00A267D5" w:rsidRPr="00C52F1D" w:rsidRDefault="00A267D5" w:rsidP="005958B1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Tím došlo ke změně i ve třídě 8 (financování), kde hodnota </w:t>
      </w:r>
      <w:r w:rsidR="00791019">
        <w:rPr>
          <w:rFonts w:ascii="Times New Roman" w:hAnsi="Times New Roman" w:cs="Times New Roman"/>
          <w:b w:val="0"/>
          <w:bCs w:val="0"/>
          <w:sz w:val="20"/>
          <w:szCs w:val="20"/>
        </w:rPr>
        <w:t>plusového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objemu financování</w:t>
      </w:r>
      <w:r w:rsidR="00D40D21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v případě </w:t>
      </w:r>
      <w:r w:rsidR="003350F9">
        <w:rPr>
          <w:rFonts w:ascii="Times New Roman" w:hAnsi="Times New Roman" w:cs="Times New Roman"/>
          <w:b w:val="0"/>
          <w:bCs w:val="0"/>
          <w:sz w:val="20"/>
          <w:szCs w:val="20"/>
        </w:rPr>
        <w:t>schváleného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rozpočtu ve výši </w:t>
      </w:r>
      <w:r w:rsidR="003350F9">
        <w:rPr>
          <w:rFonts w:ascii="Times New Roman" w:hAnsi="Times New Roman" w:cs="Times New Roman"/>
          <w:sz w:val="20"/>
          <w:szCs w:val="20"/>
        </w:rPr>
        <w:t>70.326.400</w:t>
      </w:r>
      <w:r w:rsidR="0031624A" w:rsidRPr="00C52F1D">
        <w:rPr>
          <w:rFonts w:ascii="Times New Roman" w:hAnsi="Times New Roman" w:cs="Times New Roman"/>
          <w:sz w:val="20"/>
          <w:szCs w:val="20"/>
        </w:rPr>
        <w:t xml:space="preserve"> Kč</w:t>
      </w:r>
      <w:r w:rsidR="00D40D21" w:rsidRPr="00D40D21">
        <w:rPr>
          <w:rFonts w:ascii="Times New Roman" w:hAnsi="Times New Roman" w:cs="Times New Roman"/>
          <w:b w:val="0"/>
          <w:sz w:val="20"/>
          <w:szCs w:val="20"/>
        </w:rPr>
        <w:t>,</w:t>
      </w:r>
      <w:r w:rsidR="0031624A" w:rsidRPr="00D40D2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40D21" w:rsidRPr="00D40D21">
        <w:rPr>
          <w:rFonts w:ascii="Times New Roman" w:hAnsi="Times New Roman" w:cs="Times New Roman"/>
          <w:b w:val="0"/>
          <w:sz w:val="20"/>
          <w:szCs w:val="20"/>
        </w:rPr>
        <w:t>b</w:t>
      </w:r>
      <w:r w:rsidR="00D40D21">
        <w:rPr>
          <w:rFonts w:ascii="Times New Roman" w:hAnsi="Times New Roman" w:cs="Times New Roman"/>
          <w:b w:val="0"/>
          <w:sz w:val="20"/>
          <w:szCs w:val="20"/>
        </w:rPr>
        <w:t xml:space="preserve">yla </w:t>
      </w:r>
      <w:r w:rsidR="00786212">
        <w:rPr>
          <w:rFonts w:ascii="Times New Roman" w:hAnsi="Times New Roman" w:cs="Times New Roman"/>
          <w:b w:val="0"/>
          <w:bCs w:val="0"/>
          <w:sz w:val="20"/>
          <w:szCs w:val="20"/>
        </w:rPr>
        <w:t>upravena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na hodnotu </w:t>
      </w:r>
      <w:r w:rsidR="00D40D2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objemu </w:t>
      </w:r>
      <w:r w:rsidR="003350F9">
        <w:rPr>
          <w:rFonts w:ascii="Times New Roman" w:hAnsi="Times New Roman" w:cs="Times New Roman"/>
          <w:sz w:val="20"/>
          <w:szCs w:val="20"/>
        </w:rPr>
        <w:t>148.033.453,86</w:t>
      </w:r>
      <w:r w:rsidRPr="00C52F1D">
        <w:rPr>
          <w:rFonts w:ascii="Times New Roman" w:hAnsi="Times New Roman" w:cs="Times New Roman"/>
          <w:sz w:val="20"/>
          <w:szCs w:val="20"/>
        </w:rPr>
        <w:t xml:space="preserve"> Kč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(změna stavu krátkodobých prostředků na bankovních účtech</w:t>
      </w:r>
      <w:r w:rsidR="00CD3E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operace spojené s trvalými peněžními fondy města</w:t>
      </w:r>
      <w:r w:rsidR="001666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bankovními účty města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- </w:t>
      </w:r>
      <w:r w:rsidR="00786212">
        <w:rPr>
          <w:rFonts w:ascii="Times New Roman" w:hAnsi="Times New Roman" w:cs="Times New Roman"/>
          <w:b w:val="0"/>
          <w:bCs w:val="0"/>
          <w:sz w:val="20"/>
          <w:szCs w:val="20"/>
        </w:rPr>
        <w:t>úprava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</w:t>
      </w:r>
      <w:r w:rsidR="00F960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plus </w:t>
      </w:r>
      <w:r w:rsidR="005017CE">
        <w:rPr>
          <w:rFonts w:ascii="Times New Roman" w:hAnsi="Times New Roman" w:cs="Times New Roman"/>
          <w:b w:val="0"/>
          <w:bCs w:val="0"/>
          <w:sz w:val="20"/>
          <w:szCs w:val="20"/>
        </w:rPr>
        <w:t>77.707.053,86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</w:t>
      </w:r>
      <w:r w:rsidR="0020007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; 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rozpočtovaný úbytek </w:t>
      </w:r>
      <w:r w:rsidR="00F05782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finančních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prostředků </w:t>
      </w:r>
      <w:r w:rsidR="00F05782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na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="002536E9">
        <w:rPr>
          <w:rFonts w:ascii="Times New Roman" w:hAnsi="Times New Roman" w:cs="Times New Roman"/>
          <w:b w:val="0"/>
          <w:bCs w:val="0"/>
          <w:sz w:val="20"/>
          <w:szCs w:val="20"/>
        </w:rPr>
        <w:t>bankovních účtech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města</w:t>
      </w:r>
      <w:r w:rsidR="00341D3D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; snížení finančních rezerv</w:t>
      </w:r>
      <w:r w:rsidR="001A549E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města</w:t>
      </w:r>
      <w:r w:rsidR="002536E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prostředků na bankovních účtech</w:t>
      </w:r>
      <w:r w:rsidR="005017C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trvalých peněžních fondech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).</w:t>
      </w:r>
    </w:p>
    <w:p w:rsidR="00043F34" w:rsidRDefault="00A11AEC" w:rsidP="005958B1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tomto případě jde o konsolidovaný rozpočet, bez </w:t>
      </w:r>
      <w:proofErr w:type="spellStart"/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vnitroorganizačních</w:t>
      </w:r>
      <w:proofErr w:type="spellEnd"/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převodů mezi účty a fondy města. </w:t>
      </w:r>
      <w:r w:rsidR="00A267D5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Tyto položky nejsou rozpočtovány</w:t>
      </w:r>
      <w:r w:rsidR="00CD3EBC">
        <w:rPr>
          <w:rFonts w:ascii="Times New Roman" w:hAnsi="Times New Roman" w:cs="Times New Roman"/>
          <w:b w:val="0"/>
          <w:bCs w:val="0"/>
          <w:sz w:val="20"/>
          <w:szCs w:val="20"/>
        </w:rPr>
        <w:t>, vykazují pouze skutečnost</w:t>
      </w:r>
      <w:r w:rsidR="00A267D5"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DF28ED" w:rsidRDefault="00DF28ED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</w:p>
    <w:p w:rsidR="00DF28ED" w:rsidRDefault="00DF28ED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highlight w:val="lightGray"/>
          <w:u w:val="single"/>
        </w:rPr>
      </w:pPr>
    </w:p>
    <w:p w:rsidR="00656CE0" w:rsidRPr="004975DC" w:rsidRDefault="00A267D5" w:rsidP="0036473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ROZOP, která podléhají na základě usnesení </w:t>
      </w:r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 xml:space="preserve">ZMP č. </w:t>
      </w:r>
      <w:r w:rsidR="008153E3">
        <w:rPr>
          <w:rFonts w:ascii="Times New Roman" w:hAnsi="Times New Roman"/>
          <w:sz w:val="24"/>
          <w:szCs w:val="24"/>
          <w:u w:val="single"/>
          <w:shd w:val="clear" w:color="auto" w:fill="FFC000"/>
        </w:rPr>
        <w:t>15288</w:t>
      </w:r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 xml:space="preserve"> ze dne </w:t>
      </w:r>
      <w:proofErr w:type="gramStart"/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>1</w:t>
      </w:r>
      <w:r w:rsidR="0009228C">
        <w:rPr>
          <w:rFonts w:ascii="Times New Roman" w:hAnsi="Times New Roman"/>
          <w:sz w:val="24"/>
          <w:szCs w:val="24"/>
          <w:u w:val="single"/>
          <w:shd w:val="clear" w:color="auto" w:fill="FFC000"/>
        </w:rPr>
        <w:t>4</w:t>
      </w:r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>.12.201</w:t>
      </w:r>
      <w:r w:rsidR="0009228C">
        <w:rPr>
          <w:rFonts w:ascii="Times New Roman" w:hAnsi="Times New Roman"/>
          <w:sz w:val="24"/>
          <w:szCs w:val="24"/>
          <w:u w:val="single"/>
          <w:shd w:val="clear" w:color="auto" w:fill="FFC000"/>
        </w:rPr>
        <w:t>5</w:t>
      </w:r>
      <w:proofErr w:type="gramEnd"/>
      <w:r w:rsidR="004975DC" w:rsidRPr="004975DC">
        <w:rPr>
          <w:rFonts w:ascii="Times New Roman" w:hAnsi="Times New Roman"/>
          <w:sz w:val="24"/>
          <w:szCs w:val="24"/>
          <w:u w:val="single"/>
          <w:shd w:val="clear" w:color="auto" w:fill="FFC000"/>
        </w:rPr>
        <w:t xml:space="preserve"> </w:t>
      </w: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dodatečnému schválení ZMP při pololetních rozborech hospodaření </w:t>
      </w:r>
      <w:r w:rsidR="00C46DC3"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="003F7EF3"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</w:t>
      </w: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ěsta </w:t>
      </w:r>
      <w:r w:rsidR="00165FB1"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Prostějova v roce 201</w:t>
      </w:r>
      <w:r w:rsidR="008153E3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6</w:t>
      </w:r>
      <w:r w:rsidRPr="004975D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.</w:t>
      </w:r>
    </w:p>
    <w:p w:rsidR="00656CE0" w:rsidRDefault="00656CE0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2409"/>
        <w:gridCol w:w="1276"/>
        <w:gridCol w:w="1134"/>
        <w:gridCol w:w="1134"/>
        <w:gridCol w:w="1134"/>
        <w:gridCol w:w="709"/>
      </w:tblGrid>
      <w:tr w:rsidR="0009228C" w:rsidRPr="0009228C" w:rsidTr="008153E3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Příjmy, Financování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Výdaje, Financování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28C">
              <w:rPr>
                <w:b/>
                <w:bCs/>
                <w:color w:val="000000"/>
                <w:sz w:val="16"/>
                <w:szCs w:val="16"/>
              </w:rPr>
              <w:t>Číselný údaj z "Text"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28C" w:rsidRPr="0009228C" w:rsidTr="008153E3">
        <w:trPr>
          <w:trHeight w:val="1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7.1.2016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Příspěvek na pěstounskou péči UZ13010 - převod části nevyčerpaných prostředků roku 2015 do rozpočtu 2016.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3/2016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18.1.2016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Příspěvek na pěstounskou péči UZ13010 - převod části nevyčerpaných prostředků roku 2015 do rozpočtu 2016.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5 166 361,00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5 166 361,00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5 166 361,00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5 166 361,00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4/2016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25.1.2016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1) Vratka účelové dotace s UZ13011 - zvyšování kvalifikace zaměstnance, který nedodržel kvalifikační dohodu;</w:t>
            </w:r>
            <w:r w:rsidRPr="0009228C">
              <w:rPr>
                <w:sz w:val="16"/>
                <w:szCs w:val="16"/>
              </w:rPr>
              <w:br/>
              <w:t>2) Vratka nevyčerpané účelové dotace s UZ14004.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25 560,00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25 560,00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1 231,00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09228C" w:rsidRPr="0009228C" w:rsidTr="008153E3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26 791,00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26 791,00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15/2016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29.4.2016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ÚNID z MVČR - zabezpečení akceschopnosti JSDH.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17/2016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16.5.2016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1) ÚNID z ÚPČR - pěstounská péče;</w:t>
            </w:r>
            <w:r w:rsidRPr="0009228C">
              <w:rPr>
                <w:sz w:val="16"/>
                <w:szCs w:val="16"/>
              </w:rPr>
              <w:br/>
              <w:t xml:space="preserve">2) ÚNID z MZČR - odborný lesní hospodář za </w:t>
            </w:r>
            <w:proofErr w:type="gramStart"/>
            <w:r w:rsidRPr="0009228C">
              <w:rPr>
                <w:sz w:val="16"/>
                <w:szCs w:val="16"/>
              </w:rPr>
              <w:t>IV.Q.2015</w:t>
            </w:r>
            <w:proofErr w:type="gramEnd"/>
            <w:r w:rsidRPr="0009228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2 680 000,00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95 396,00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95 396,00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2 775 396,00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2 775 396,00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18/2016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17.5.2016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ÚPČR - vratka části příspěvku na pěstounskou péči z r. 2013 a 2014.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-4 383 962,00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4 383 962,00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5372C5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21/2016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9.6.2016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 xml:space="preserve">1) ÚNID z </w:t>
            </w:r>
            <w:proofErr w:type="spellStart"/>
            <w:r w:rsidRPr="0009228C">
              <w:rPr>
                <w:sz w:val="16"/>
                <w:szCs w:val="16"/>
              </w:rPr>
              <w:t>OlK</w:t>
            </w:r>
            <w:proofErr w:type="spellEnd"/>
            <w:r w:rsidRPr="0009228C">
              <w:rPr>
                <w:sz w:val="16"/>
                <w:szCs w:val="16"/>
              </w:rPr>
              <w:t xml:space="preserve"> - regionální funkce knihoven v r. 2016;</w:t>
            </w:r>
            <w:r w:rsidRPr="0009228C">
              <w:rPr>
                <w:sz w:val="16"/>
                <w:szCs w:val="16"/>
              </w:rPr>
              <w:br/>
              <w:t>2) ÚNID z MKČR - VISK 3;</w:t>
            </w:r>
            <w:r w:rsidRPr="0009228C">
              <w:rPr>
                <w:sz w:val="16"/>
                <w:szCs w:val="16"/>
              </w:rPr>
              <w:br/>
              <w:t>3) ÚNID z MKČR - VISK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1 655 221,00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1 655 221,00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09228C" w:rsidRPr="0009228C" w:rsidTr="005372C5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09228C" w:rsidRPr="0009228C" w:rsidTr="005372C5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1 704 221,00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1 704 221,00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23/2016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21.6.2016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 xml:space="preserve">1) ÚNID z MKČR - Knihovna 21. století (MK </w:t>
            </w:r>
            <w:proofErr w:type="spellStart"/>
            <w:r w:rsidRPr="0009228C">
              <w:rPr>
                <w:sz w:val="16"/>
                <w:szCs w:val="16"/>
              </w:rPr>
              <w:t>Pv</w:t>
            </w:r>
            <w:proofErr w:type="spellEnd"/>
            <w:r w:rsidRPr="0009228C">
              <w:rPr>
                <w:sz w:val="16"/>
                <w:szCs w:val="16"/>
              </w:rPr>
              <w:t>);</w:t>
            </w:r>
            <w:r w:rsidRPr="0009228C">
              <w:rPr>
                <w:sz w:val="16"/>
                <w:szCs w:val="16"/>
              </w:rPr>
              <w:br/>
              <w:t>2) ÚNID z MPSVČR - SPOD 2016 - 1. splátka;</w:t>
            </w:r>
            <w:r w:rsidRPr="0009228C">
              <w:rPr>
                <w:sz w:val="16"/>
                <w:szCs w:val="16"/>
              </w:rPr>
              <w:br/>
              <w:t xml:space="preserve">3) ÚNID z MZČR - Odborný lesní </w:t>
            </w:r>
            <w:proofErr w:type="gramStart"/>
            <w:r w:rsidRPr="0009228C">
              <w:rPr>
                <w:sz w:val="16"/>
                <w:szCs w:val="16"/>
              </w:rPr>
              <w:t>hospodář - I.Q.2016</w:t>
            </w:r>
            <w:proofErr w:type="gramEnd"/>
            <w:r w:rsidRPr="0009228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5 500 000,00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94 757,00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94 757,00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3)</w:t>
            </w:r>
          </w:p>
        </w:tc>
      </w:tr>
      <w:tr w:rsidR="0009228C" w:rsidRPr="0009228C" w:rsidTr="008153E3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5 604 757,00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5 604 757,00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25/2016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28.6.2016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 xml:space="preserve">1) ÚNID z MPSVČR - Výkon sociální práce mimo </w:t>
            </w:r>
            <w:proofErr w:type="gramStart"/>
            <w:r w:rsidRPr="0009228C">
              <w:rPr>
                <w:sz w:val="16"/>
                <w:szCs w:val="16"/>
              </w:rPr>
              <w:t>SPOD</w:t>
            </w:r>
            <w:proofErr w:type="gramEnd"/>
            <w:r w:rsidRPr="0009228C">
              <w:rPr>
                <w:sz w:val="16"/>
                <w:szCs w:val="16"/>
              </w:rPr>
              <w:t xml:space="preserve"> pro rok 2016;</w:t>
            </w:r>
            <w:r w:rsidRPr="0009228C">
              <w:rPr>
                <w:sz w:val="16"/>
                <w:szCs w:val="16"/>
              </w:rPr>
              <w:br/>
              <w:t>2) ÚNID z MVČR - Prevence kriminality (víkendové pobyty, letní dětský tábor.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1 985 000,00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1)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128 000,00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2)</w:t>
            </w:r>
          </w:p>
        </w:tc>
      </w:tr>
      <w:tr w:rsidR="0009228C" w:rsidRPr="0009228C" w:rsidTr="008153E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2 113 000,00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2 113 000,00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26/2016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13.7.2016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ÚNID z ÚPČR - aktivní politika zaměstnanosti.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1 457 772,00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1 200 639,00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-257 133,00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1 200 639,00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1 200 639,00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27/2016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09228C">
              <w:rPr>
                <w:sz w:val="16"/>
                <w:szCs w:val="16"/>
              </w:rPr>
              <w:t>15.7.2016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ÚNID z ÚPČR - aktivní politika zaměstnanosti.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09228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228C" w:rsidRPr="0009228C" w:rsidTr="008153E3">
        <w:trPr>
          <w:trHeight w:val="1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Celkem ROZOP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19 211 165,00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09228C">
              <w:rPr>
                <w:b/>
                <w:bCs/>
                <w:sz w:val="16"/>
                <w:szCs w:val="16"/>
              </w:rPr>
              <w:t>19 211 165,00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9228C" w:rsidRPr="0009228C" w:rsidRDefault="0009228C" w:rsidP="0009228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09228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9228C" w:rsidRDefault="0009228C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87C74" w:rsidRPr="00AC1B68" w:rsidRDefault="00187C74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165FB1" w:rsidRDefault="00A267D5" w:rsidP="00411615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Přehled o realizaci ROZOP jednotlivými </w:t>
      </w:r>
      <w:r w:rsidR="00AE4C70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kapitolami</w:t>
      </w:r>
      <w:r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za I. </w:t>
      </w:r>
      <w:r w:rsidR="00926B27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pololetí </w:t>
      </w:r>
      <w:r w:rsidR="00364738" w:rsidRPr="0041161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201</w:t>
      </w:r>
      <w:r w:rsidR="0049148C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6</w:t>
      </w:r>
    </w:p>
    <w:p w:rsidR="00A267D5" w:rsidRPr="00AC1B68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5E65D4" w:rsidRPr="00C52F1D" w:rsidTr="008A4DD7">
        <w:tc>
          <w:tcPr>
            <w:tcW w:w="851" w:type="dxa"/>
            <w:shd w:val="clear" w:color="auto" w:fill="FFFF00"/>
          </w:tcPr>
          <w:p w:rsidR="005E65D4" w:rsidRPr="008A4DD7" w:rsidRDefault="005E65D4" w:rsidP="009D103F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DD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Kapitola</w:t>
            </w:r>
          </w:p>
        </w:tc>
        <w:tc>
          <w:tcPr>
            <w:tcW w:w="8505" w:type="dxa"/>
            <w:shd w:val="clear" w:color="auto" w:fill="FFFF00"/>
          </w:tcPr>
          <w:p w:rsidR="005E65D4" w:rsidRPr="008A4DD7" w:rsidRDefault="005E65D4" w:rsidP="009D103F">
            <w:pPr>
              <w:pStyle w:val="Zkladntext3"/>
              <w:shd w:val="clear" w:color="auto" w:fill="auto"/>
              <w:autoSpaceDE w:val="0"/>
              <w:autoSpaceDN w:val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DD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Komentář</w:t>
            </w:r>
          </w:p>
        </w:tc>
      </w:tr>
      <w:tr w:rsidR="005E65D4" w:rsidRPr="00C52F1D">
        <w:trPr>
          <w:trHeight w:val="106"/>
        </w:trPr>
        <w:tc>
          <w:tcPr>
            <w:tcW w:w="851" w:type="dxa"/>
          </w:tcPr>
          <w:p w:rsidR="005E65D4" w:rsidRPr="00C52F1D" w:rsidRDefault="005E65D4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8505" w:type="dxa"/>
          </w:tcPr>
          <w:p w:rsidR="005E65D4" w:rsidRPr="00C52F1D" w:rsidRDefault="005E65D4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863E97" w:rsidRPr="00C52F1D">
        <w:tc>
          <w:tcPr>
            <w:tcW w:w="851" w:type="dxa"/>
          </w:tcPr>
          <w:p w:rsidR="00863E97" w:rsidRPr="00C52F1D" w:rsidRDefault="00863E97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505" w:type="dxa"/>
          </w:tcPr>
          <w:p w:rsidR="00863E97" w:rsidRPr="00C52F1D" w:rsidRDefault="00863E97" w:rsidP="00EC6C8F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F103AF" w:rsidRPr="005E1598">
        <w:tc>
          <w:tcPr>
            <w:tcW w:w="851" w:type="dxa"/>
          </w:tcPr>
          <w:p w:rsidR="00F103AF" w:rsidRPr="005E1598" w:rsidRDefault="00F103AF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E15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8505" w:type="dxa"/>
          </w:tcPr>
          <w:p w:rsidR="00F103AF" w:rsidRPr="00A80018" w:rsidRDefault="00452517" w:rsidP="00EC6C8F">
            <w:pPr>
              <w:jc w:val="both"/>
              <w:rPr>
                <w:sz w:val="16"/>
                <w:szCs w:val="16"/>
              </w:rPr>
            </w:pPr>
            <w:r w:rsidRPr="00C52F1D">
              <w:rPr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52517" w:rsidRPr="00C52F1D">
        <w:trPr>
          <w:trHeight w:val="106"/>
        </w:trPr>
        <w:tc>
          <w:tcPr>
            <w:tcW w:w="851" w:type="dxa"/>
          </w:tcPr>
          <w:p w:rsidR="00452517" w:rsidRPr="00C52F1D" w:rsidRDefault="00452517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8505" w:type="dxa"/>
          </w:tcPr>
          <w:p w:rsidR="00452517" w:rsidRPr="0040208C" w:rsidRDefault="00452517" w:rsidP="003608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8505" w:type="dxa"/>
          </w:tcPr>
          <w:p w:rsidR="00665FBE" w:rsidRPr="0040208C" w:rsidRDefault="00181EE2" w:rsidP="00F103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8505" w:type="dxa"/>
          </w:tcPr>
          <w:p w:rsidR="00665FBE" w:rsidRPr="00A80018" w:rsidRDefault="00665FBE" w:rsidP="00A80018">
            <w:pPr>
              <w:jc w:val="both"/>
              <w:rPr>
                <w:sz w:val="16"/>
                <w:szCs w:val="16"/>
              </w:rPr>
            </w:pPr>
            <w:r w:rsidRPr="00A80018">
              <w:rPr>
                <w:bCs/>
                <w:sz w:val="16"/>
                <w:szCs w:val="16"/>
              </w:rPr>
              <w:t>Ve sledovaném období nebyla požadována žádná ROZOP.</w:t>
            </w:r>
          </w:p>
        </w:tc>
      </w:tr>
      <w:tr w:rsidR="00665FBE" w:rsidRPr="00C52F1D">
        <w:trPr>
          <w:trHeight w:val="106"/>
        </w:trPr>
        <w:tc>
          <w:tcPr>
            <w:tcW w:w="851" w:type="dxa"/>
          </w:tcPr>
          <w:p w:rsidR="00665FBE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665FBE" w:rsidRPr="00C52F1D"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jc w:val="both"/>
              <w:rPr>
                <w:sz w:val="16"/>
                <w:szCs w:val="16"/>
              </w:rPr>
            </w:pPr>
            <w:r w:rsidRPr="00C52F1D">
              <w:rPr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837D8D" w:rsidRPr="00C52F1D">
        <w:tc>
          <w:tcPr>
            <w:tcW w:w="851" w:type="dxa"/>
          </w:tcPr>
          <w:p w:rsidR="00837D8D" w:rsidRPr="00C52F1D" w:rsidRDefault="00837D8D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8505" w:type="dxa"/>
          </w:tcPr>
          <w:p w:rsidR="00837D8D" w:rsidRPr="00AD538D" w:rsidRDefault="00837D8D" w:rsidP="00EC6C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837D8D" w:rsidRPr="00C52F1D">
        <w:tc>
          <w:tcPr>
            <w:tcW w:w="851" w:type="dxa"/>
          </w:tcPr>
          <w:p w:rsidR="00837D8D" w:rsidRPr="00C52F1D" w:rsidRDefault="00837D8D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8505" w:type="dxa"/>
          </w:tcPr>
          <w:p w:rsidR="00837D8D" w:rsidRPr="00A80018" w:rsidRDefault="00837D8D" w:rsidP="00EC6C8F">
            <w:pPr>
              <w:jc w:val="both"/>
              <w:rPr>
                <w:sz w:val="16"/>
                <w:szCs w:val="16"/>
              </w:rPr>
            </w:pPr>
            <w:r w:rsidRPr="00A80018">
              <w:rPr>
                <w:bCs/>
                <w:sz w:val="16"/>
                <w:szCs w:val="16"/>
              </w:rPr>
              <w:t>Ve sledovaném období nebyla požadována žádná ROZOP.</w:t>
            </w:r>
          </w:p>
        </w:tc>
      </w:tr>
      <w:tr w:rsidR="00665FBE" w:rsidRPr="00C52F1D">
        <w:tc>
          <w:tcPr>
            <w:tcW w:w="851" w:type="dxa"/>
          </w:tcPr>
          <w:p w:rsidR="00665FBE" w:rsidRPr="00C52F1D" w:rsidRDefault="00665FBE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8505" w:type="dxa"/>
          </w:tcPr>
          <w:p w:rsidR="00665FBE" w:rsidRPr="00C52F1D" w:rsidRDefault="00665FBE" w:rsidP="00A80018">
            <w:pPr>
              <w:jc w:val="both"/>
              <w:rPr>
                <w:sz w:val="16"/>
                <w:szCs w:val="16"/>
              </w:rPr>
            </w:pPr>
            <w:r w:rsidRPr="00C52F1D">
              <w:rPr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52517" w:rsidRPr="00C52F1D">
        <w:tc>
          <w:tcPr>
            <w:tcW w:w="851" w:type="dxa"/>
          </w:tcPr>
          <w:p w:rsidR="00452517" w:rsidRPr="00C52F1D" w:rsidRDefault="00452517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41</w:t>
            </w:r>
          </w:p>
        </w:tc>
        <w:tc>
          <w:tcPr>
            <w:tcW w:w="8505" w:type="dxa"/>
          </w:tcPr>
          <w:p w:rsidR="00452517" w:rsidRPr="00AD538D" w:rsidRDefault="00452517" w:rsidP="003608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8505" w:type="dxa"/>
          </w:tcPr>
          <w:p w:rsidR="0040208C" w:rsidRPr="00AD538D" w:rsidRDefault="0040208C" w:rsidP="001B04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8505" w:type="dxa"/>
          </w:tcPr>
          <w:p w:rsidR="0040208C" w:rsidRPr="00665FBE" w:rsidRDefault="00181EE2" w:rsidP="00181EE2">
            <w:pPr>
              <w:jc w:val="both"/>
              <w:rPr>
                <w:sz w:val="16"/>
                <w:szCs w:val="16"/>
              </w:rPr>
            </w:pPr>
            <w:r w:rsidRPr="00B254C1">
              <w:rPr>
                <w:sz w:val="16"/>
                <w:szCs w:val="16"/>
              </w:rPr>
              <w:t xml:space="preserve">Rozpočtová opatření, která </w:t>
            </w:r>
            <w:proofErr w:type="gramStart"/>
            <w:r w:rsidRPr="00B254C1">
              <w:rPr>
                <w:sz w:val="16"/>
                <w:szCs w:val="16"/>
              </w:rPr>
              <w:t>byla</w:t>
            </w:r>
            <w:proofErr w:type="gramEnd"/>
            <w:r w:rsidRPr="00B254C1">
              <w:rPr>
                <w:sz w:val="16"/>
                <w:szCs w:val="16"/>
              </w:rPr>
              <w:t xml:space="preserve"> schválena v průběhu pololetí 2016 na schůzích Rady města Prostějova a zasedáních Zastupitelstva města Prostějova </w:t>
            </w:r>
            <w:proofErr w:type="gramStart"/>
            <w:r w:rsidRPr="00B254C1">
              <w:rPr>
                <w:sz w:val="16"/>
                <w:szCs w:val="16"/>
              </w:rPr>
              <w:t>jsou</w:t>
            </w:r>
            <w:proofErr w:type="gramEnd"/>
            <w:r w:rsidRPr="00B254C1">
              <w:rPr>
                <w:sz w:val="16"/>
                <w:szCs w:val="16"/>
              </w:rPr>
              <w:t xml:space="preserve"> a budou</w:t>
            </w:r>
            <w:r w:rsidRPr="00B254C1">
              <w:rPr>
                <w:b/>
                <w:sz w:val="16"/>
                <w:szCs w:val="16"/>
                <w:u w:val="single"/>
              </w:rPr>
              <w:t xml:space="preserve"> </w:t>
            </w:r>
            <w:r w:rsidRPr="00B254C1">
              <w:rPr>
                <w:sz w:val="16"/>
                <w:szCs w:val="16"/>
              </w:rPr>
              <w:t>realizována v průběhu celého kalendářního roku. Jde většinou o doplnění finančních</w:t>
            </w:r>
            <w:r>
              <w:rPr>
                <w:sz w:val="16"/>
                <w:szCs w:val="16"/>
              </w:rPr>
              <w:t xml:space="preserve"> </w:t>
            </w:r>
            <w:r w:rsidRPr="00B254C1">
              <w:rPr>
                <w:sz w:val="16"/>
                <w:szCs w:val="16"/>
              </w:rPr>
              <w:t>prostředků na základě proběhlých výběrových řízení. Tento postup se jeví jako efektivnější, než aby částky ve schváleném rozpočtu byly příliš vysoké a docházelo tak k vyvázání finančních prostředků. Jedná se také o doplnění finančních prostředků v případě akcí, kde byla</w:t>
            </w:r>
            <w:r>
              <w:rPr>
                <w:sz w:val="16"/>
                <w:szCs w:val="16"/>
              </w:rPr>
              <w:t xml:space="preserve"> přidělena dotace.</w:t>
            </w:r>
          </w:p>
        </w:tc>
      </w:tr>
      <w:tr w:rsidR="0097095C" w:rsidRPr="00C52F1D">
        <w:tc>
          <w:tcPr>
            <w:tcW w:w="851" w:type="dxa"/>
          </w:tcPr>
          <w:p w:rsidR="0097095C" w:rsidRPr="00C52F1D" w:rsidRDefault="0097095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61</w:t>
            </w:r>
          </w:p>
        </w:tc>
        <w:tc>
          <w:tcPr>
            <w:tcW w:w="8505" w:type="dxa"/>
          </w:tcPr>
          <w:p w:rsidR="0097095C" w:rsidRPr="00C52F1D" w:rsidRDefault="0097095C" w:rsidP="00880DFD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52517" w:rsidRPr="00C52F1D">
        <w:tc>
          <w:tcPr>
            <w:tcW w:w="851" w:type="dxa"/>
          </w:tcPr>
          <w:p w:rsidR="00452517" w:rsidRPr="00C52F1D" w:rsidRDefault="00452517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62</w:t>
            </w:r>
          </w:p>
        </w:tc>
        <w:tc>
          <w:tcPr>
            <w:tcW w:w="8505" w:type="dxa"/>
          </w:tcPr>
          <w:p w:rsidR="00452517" w:rsidRPr="00AD538D" w:rsidRDefault="00452517" w:rsidP="003608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70</w:t>
            </w:r>
          </w:p>
        </w:tc>
        <w:tc>
          <w:tcPr>
            <w:tcW w:w="8505" w:type="dxa"/>
          </w:tcPr>
          <w:p w:rsidR="0040208C" w:rsidRPr="00C52F1D" w:rsidRDefault="0040208C" w:rsidP="00A80018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52517" w:rsidRPr="00C52F1D">
        <w:tc>
          <w:tcPr>
            <w:tcW w:w="851" w:type="dxa"/>
          </w:tcPr>
          <w:p w:rsidR="00452517" w:rsidRPr="00C52F1D" w:rsidRDefault="00452517" w:rsidP="00837D8D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71</w:t>
            </w:r>
          </w:p>
        </w:tc>
        <w:tc>
          <w:tcPr>
            <w:tcW w:w="8505" w:type="dxa"/>
          </w:tcPr>
          <w:p w:rsidR="00452517" w:rsidRPr="00C52F1D" w:rsidRDefault="00452517" w:rsidP="00360870">
            <w:pPr>
              <w:pStyle w:val="Zkladntext3"/>
              <w:shd w:val="clear" w:color="auto" w:fill="auto"/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ROZOP schválená ve sledovaném období byla realizována.</w:t>
            </w:r>
          </w:p>
        </w:tc>
      </w:tr>
      <w:tr w:rsidR="0040208C" w:rsidRPr="00C52F1D">
        <w:tc>
          <w:tcPr>
            <w:tcW w:w="851" w:type="dxa"/>
          </w:tcPr>
          <w:p w:rsidR="0040208C" w:rsidRPr="00C52F1D" w:rsidRDefault="0040208C" w:rsidP="008350CE">
            <w:pPr>
              <w:pStyle w:val="Zkladntext3"/>
              <w:shd w:val="clear" w:color="auto" w:fill="auto"/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52F1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90</w:t>
            </w:r>
          </w:p>
        </w:tc>
        <w:tc>
          <w:tcPr>
            <w:tcW w:w="8505" w:type="dxa"/>
          </w:tcPr>
          <w:p w:rsidR="0040208C" w:rsidRPr="00AD538D" w:rsidRDefault="0040208C" w:rsidP="001B04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</w:t>
            </w:r>
            <w:r w:rsidRPr="00C52F1D">
              <w:rPr>
                <w:sz w:val="16"/>
                <w:szCs w:val="16"/>
              </w:rPr>
              <w:t xml:space="preserve"> ROZOP schválen</w:t>
            </w:r>
            <w:r>
              <w:rPr>
                <w:sz w:val="16"/>
                <w:szCs w:val="16"/>
              </w:rPr>
              <w:t>ých</w:t>
            </w:r>
            <w:r w:rsidRPr="00C52F1D">
              <w:rPr>
                <w:sz w:val="16"/>
                <w:szCs w:val="16"/>
              </w:rPr>
              <w:t xml:space="preserve"> ve sledovaném období byla realizována</w:t>
            </w:r>
            <w:r>
              <w:rPr>
                <w:sz w:val="16"/>
                <w:szCs w:val="16"/>
              </w:rPr>
              <w:t>. Zbytek bude realizován ve II. pololetí.</w:t>
            </w:r>
          </w:p>
        </w:tc>
      </w:tr>
    </w:tbl>
    <w:p w:rsidR="00A267D5" w:rsidRPr="00C52F1D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A267D5" w:rsidRPr="00C52F1D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Všechna ROZOP jsou po zpracování uložena na Finančním odboru </w:t>
      </w:r>
      <w:r w:rsidR="0038335B">
        <w:rPr>
          <w:rFonts w:ascii="Times New Roman" w:hAnsi="Times New Roman" w:cs="Times New Roman"/>
          <w:b w:val="0"/>
          <w:bCs w:val="0"/>
          <w:sz w:val="20"/>
          <w:szCs w:val="20"/>
        </w:rPr>
        <w:t>MMPv</w:t>
      </w:r>
      <w:r w:rsidRPr="00C52F1D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350CE" w:rsidRDefault="008350CE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095C" w:rsidRPr="00AC1B68" w:rsidRDefault="0097095C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C52F1D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Finanční zdroje </w:t>
      </w:r>
      <w:r w:rsidR="007B1B91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="00AE4C70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</w:t>
      </w:r>
      <w:r w:rsidR="00ED4964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ěsta Prostějova k </w:t>
      </w:r>
      <w:proofErr w:type="gramStart"/>
      <w:r w:rsidR="00ED4964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30.6.20</w:t>
      </w:r>
      <w:r w:rsidR="00360FCF" w:rsidRPr="0069344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E87BAF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6</w:t>
      </w:r>
      <w:proofErr w:type="gramEnd"/>
    </w:p>
    <w:p w:rsidR="00A267D5" w:rsidRDefault="00A267D5" w:rsidP="00A80018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2104"/>
        <w:gridCol w:w="2268"/>
        <w:gridCol w:w="2268"/>
      </w:tblGrid>
      <w:tr w:rsidR="007408E3" w:rsidRPr="007408E3" w:rsidTr="007408E3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u w:val="single"/>
              </w:rPr>
            </w:pPr>
            <w:r w:rsidRPr="007408E3">
              <w:rPr>
                <w:rFonts w:ascii="Times New Roman CE" w:hAnsi="Times New Roman CE" w:cs="Times New Roman CE"/>
                <w:b/>
                <w:bCs/>
                <w:u w:val="single"/>
              </w:rPr>
              <w:t xml:space="preserve">Stav peněžních prostředků města Prostějova k </w:t>
            </w:r>
            <w:proofErr w:type="gramStart"/>
            <w:r w:rsidRPr="007408E3">
              <w:rPr>
                <w:rFonts w:ascii="Times New Roman CE" w:hAnsi="Times New Roman CE" w:cs="Times New Roman CE"/>
                <w:b/>
                <w:bCs/>
                <w:u w:val="single"/>
              </w:rPr>
              <w:t>30.6.2016</w:t>
            </w:r>
            <w:proofErr w:type="gramEnd"/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7408E3" w:rsidRPr="007408E3" w:rsidTr="007408E3">
        <w:trPr>
          <w:trHeight w:val="210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Účet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</w:t>
            </w: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Stav k </w:t>
            </w:r>
            <w:proofErr w:type="gramStart"/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1.1.2016</w:t>
            </w:r>
            <w:proofErr w:type="gramEnd"/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</w:t>
            </w: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Stav k </w:t>
            </w:r>
            <w:proofErr w:type="gramStart"/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30.6.2016</w:t>
            </w:r>
            <w:proofErr w:type="gramEnd"/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</w:t>
            </w: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Obrat v Kč</w:t>
            </w: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Základní běžný účet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408E3">
              <w:rPr>
                <w:sz w:val="16"/>
                <w:szCs w:val="16"/>
              </w:rPr>
              <w:t>173 867 833,59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238 667 435,24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64 799 601,65</w:t>
            </w: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Účet fondů bez sociálního fondu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408E3">
              <w:rPr>
                <w:sz w:val="16"/>
                <w:szCs w:val="16"/>
              </w:rPr>
              <w:t>149 101 933,48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180 943 928,48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31 841 995,00</w:t>
            </w: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Sociální fond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408E3">
              <w:rPr>
                <w:sz w:val="16"/>
                <w:szCs w:val="16"/>
              </w:rPr>
              <w:t>583 123,31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1 822 466,31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1 239 343,00</w:t>
            </w: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Depozitní účet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408E3">
              <w:rPr>
                <w:sz w:val="16"/>
                <w:szCs w:val="16"/>
              </w:rPr>
              <w:t>18 268 850,75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2 771 854,99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-15 496 995,76</w:t>
            </w:r>
          </w:p>
        </w:tc>
      </w:tr>
      <w:tr w:rsidR="007408E3" w:rsidRPr="007408E3" w:rsidTr="007408E3">
        <w:trPr>
          <w:trHeight w:val="21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Peněžní prostředky celkem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341 821 741,13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424 205 685,02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82 383 943,89</w:t>
            </w: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úbytek = "-"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7408E3" w:rsidRPr="007408E3" w:rsidTr="007408E3">
        <w:trPr>
          <w:trHeight w:val="22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408E3">
              <w:rPr>
                <w:rFonts w:ascii="Times New Roman CE" w:hAnsi="Times New Roman CE" w:cs="Times New Roman CE"/>
                <w:sz w:val="16"/>
                <w:szCs w:val="16"/>
              </w:rPr>
              <w:t>přírůstek = "+"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8E3" w:rsidRPr="007408E3" w:rsidRDefault="007408E3" w:rsidP="007408E3">
            <w:pPr>
              <w:autoSpaceDE/>
              <w:autoSpaceDN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</w:tbl>
    <w:p w:rsidR="00AC1B68" w:rsidRPr="008F48D6" w:rsidRDefault="00AC1B68" w:rsidP="00E87BA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1B68" w:rsidRPr="008F48D6" w:rsidRDefault="00AC1B68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67D5" w:rsidRPr="00C52F1D" w:rsidRDefault="00A267D5" w:rsidP="001B64C1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Trvalé peněžní fondy </w:t>
      </w:r>
      <w:r w:rsidR="007B1B91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="00F02090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</w:t>
      </w: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ěsta Prostějova (</w:t>
      </w:r>
      <w:r w:rsidR="004D67A3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tvorba</w:t>
      </w: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, užití k </w:t>
      </w:r>
      <w:proofErr w:type="gramStart"/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30.6.20</w:t>
      </w:r>
      <w:r w:rsidR="005765D5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815D6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6</w:t>
      </w:r>
      <w:proofErr w:type="gramEnd"/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– ÚZ</w:t>
      </w:r>
      <w:r w:rsidR="00C203F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00000000</w:t>
      </w:r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 až ÚZ</w:t>
      </w:r>
      <w:r w:rsidR="00C203F5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00000000</w:t>
      </w:r>
      <w:r w:rsidR="00815D6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6</w:t>
      </w:r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rozpočtově</w:t>
      </w:r>
      <w:r w:rsidR="0052585B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- schváleno</w:t>
      </w:r>
      <w:r w:rsidR="00AC2408"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; sociální fond dle skutečnosti</w:t>
      </w:r>
      <w:r w:rsidRPr="00D777F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)</w:t>
      </w:r>
    </w:p>
    <w:p w:rsidR="00A267D5" w:rsidRDefault="00A267D5" w:rsidP="009D103F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6095"/>
        <w:gridCol w:w="1276"/>
      </w:tblGrid>
      <w:tr w:rsidR="00815D66" w:rsidRPr="007C48C1" w:rsidTr="00B23BCC">
        <w:trPr>
          <w:trHeight w:val="19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7C48C1">
              <w:rPr>
                <w:b/>
                <w:bCs/>
                <w:sz w:val="15"/>
                <w:szCs w:val="15"/>
              </w:rPr>
              <w:t>Fond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7C48C1">
              <w:rPr>
                <w:b/>
                <w:bCs/>
                <w:sz w:val="15"/>
                <w:szCs w:val="15"/>
              </w:rPr>
              <w:t>Finanční operace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center"/>
              <w:rPr>
                <w:b/>
                <w:bCs/>
                <w:sz w:val="15"/>
                <w:szCs w:val="15"/>
              </w:rPr>
            </w:pPr>
            <w:r w:rsidRPr="007C48C1">
              <w:rPr>
                <w:b/>
                <w:bCs/>
                <w:sz w:val="15"/>
                <w:szCs w:val="15"/>
              </w:rPr>
              <w:t>Částka v Kč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Fond rezerv a rozvoje</w:t>
            </w:r>
            <w:r w:rsidRPr="007C48C1">
              <w:rPr>
                <w:b/>
                <w:bCs/>
                <w:sz w:val="16"/>
                <w:szCs w:val="16"/>
              </w:rPr>
              <w:br/>
              <w:t>ÚZ000000001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7C48C1">
              <w:rPr>
                <w:b/>
                <w:bCs/>
                <w:sz w:val="16"/>
                <w:szCs w:val="16"/>
              </w:rPr>
              <w:t>1.1.2016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149 610 953,94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Schválený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12. ZMP ze dne </w:t>
            </w:r>
            <w:proofErr w:type="gramStart"/>
            <w:r w:rsidRPr="007C48C1">
              <w:rPr>
                <w:sz w:val="16"/>
                <w:szCs w:val="16"/>
              </w:rPr>
              <w:t>14.12.2015</w:t>
            </w:r>
            <w:proofErr w:type="gramEnd"/>
            <w:r w:rsidRPr="007C48C1">
              <w:rPr>
                <w:sz w:val="16"/>
                <w:szCs w:val="16"/>
              </w:rPr>
              <w:t xml:space="preserve"> - stavební investice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-74 143 560,00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ROZOP č. 1/2016 - převod prostředků na pěst. </w:t>
            </w:r>
            <w:proofErr w:type="gramStart"/>
            <w:r w:rsidRPr="007C48C1">
              <w:rPr>
                <w:sz w:val="16"/>
                <w:szCs w:val="16"/>
              </w:rPr>
              <w:t>péči</w:t>
            </w:r>
            <w:proofErr w:type="gramEnd"/>
            <w:r w:rsidRPr="007C48C1">
              <w:rPr>
                <w:sz w:val="16"/>
                <w:szCs w:val="16"/>
              </w:rPr>
              <w:t xml:space="preserve"> z roku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-500 000,00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ROZOP č. 3/2016 - převod prostředků na pěst. </w:t>
            </w:r>
            <w:proofErr w:type="gramStart"/>
            <w:r w:rsidRPr="007C48C1">
              <w:rPr>
                <w:sz w:val="16"/>
                <w:szCs w:val="16"/>
              </w:rPr>
              <w:t>péči</w:t>
            </w:r>
            <w:proofErr w:type="gramEnd"/>
            <w:r w:rsidRPr="007C48C1">
              <w:rPr>
                <w:sz w:val="16"/>
                <w:szCs w:val="16"/>
              </w:rPr>
              <w:t xml:space="preserve"> z roku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-5 166 361,00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ROZOP č. 4/2016 - </w:t>
            </w:r>
            <w:proofErr w:type="spellStart"/>
            <w:r w:rsidRPr="007C48C1">
              <w:rPr>
                <w:sz w:val="16"/>
                <w:szCs w:val="16"/>
              </w:rPr>
              <w:t>Vzúčtování</w:t>
            </w:r>
            <w:proofErr w:type="spellEnd"/>
            <w:r w:rsidRPr="007C48C1">
              <w:rPr>
                <w:sz w:val="16"/>
                <w:szCs w:val="16"/>
              </w:rPr>
              <w:t xml:space="preserve"> účelových dotací roku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-26 791,00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33. RMP ze dne </w:t>
            </w:r>
            <w:proofErr w:type="gramStart"/>
            <w:r w:rsidRPr="007C48C1">
              <w:rPr>
                <w:sz w:val="16"/>
                <w:szCs w:val="16"/>
              </w:rPr>
              <w:t>19.1.2016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-1 000 000,00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34. RMP ze dne </w:t>
            </w:r>
            <w:proofErr w:type="gramStart"/>
            <w:r w:rsidRPr="007C48C1">
              <w:rPr>
                <w:sz w:val="16"/>
                <w:szCs w:val="16"/>
              </w:rPr>
              <w:t>2.2.2016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-1 267 900,00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13. ZMP ze dne </w:t>
            </w:r>
            <w:proofErr w:type="gramStart"/>
            <w:r w:rsidRPr="007C48C1">
              <w:rPr>
                <w:sz w:val="16"/>
                <w:szCs w:val="16"/>
              </w:rPr>
              <w:t>15.2.2016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-4 115 850,00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36. RMP ze dne </w:t>
            </w:r>
            <w:proofErr w:type="gramStart"/>
            <w:r w:rsidRPr="007C48C1">
              <w:rPr>
                <w:sz w:val="16"/>
                <w:szCs w:val="16"/>
              </w:rPr>
              <w:t>1.3.2016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-422 400,00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37. RMP ze dne </w:t>
            </w:r>
            <w:proofErr w:type="gramStart"/>
            <w:r w:rsidRPr="007C48C1">
              <w:rPr>
                <w:sz w:val="16"/>
                <w:szCs w:val="16"/>
              </w:rPr>
              <w:t>15.3.2016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-185 202,00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38. RMP ze dne </w:t>
            </w:r>
            <w:proofErr w:type="gramStart"/>
            <w:r w:rsidRPr="007C48C1">
              <w:rPr>
                <w:sz w:val="16"/>
                <w:szCs w:val="16"/>
              </w:rPr>
              <w:t>29.3.2016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-510 000,00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15. ZMP ze dne </w:t>
            </w:r>
            <w:proofErr w:type="gramStart"/>
            <w:r w:rsidRPr="007C48C1">
              <w:rPr>
                <w:sz w:val="16"/>
                <w:szCs w:val="16"/>
              </w:rPr>
              <w:t>11.4.2016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-3 460 100,00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41. RMP ze dne </w:t>
            </w:r>
            <w:proofErr w:type="gramStart"/>
            <w:r w:rsidRPr="007C48C1">
              <w:rPr>
                <w:sz w:val="16"/>
                <w:szCs w:val="16"/>
              </w:rPr>
              <w:t>26.4.2016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-98 046,00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42. RMP ze dne </w:t>
            </w:r>
            <w:proofErr w:type="gramStart"/>
            <w:r w:rsidRPr="007C48C1">
              <w:rPr>
                <w:sz w:val="16"/>
                <w:szCs w:val="16"/>
              </w:rPr>
              <w:t>10.5.2016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-3 390 610,00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16. ZMP ze dne </w:t>
            </w:r>
            <w:proofErr w:type="gramStart"/>
            <w:r w:rsidRPr="007C48C1">
              <w:rPr>
                <w:sz w:val="16"/>
                <w:szCs w:val="16"/>
              </w:rPr>
              <w:t>6.6.2016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122 690 537,02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47. RMP ze dne </w:t>
            </w:r>
            <w:proofErr w:type="gramStart"/>
            <w:r w:rsidRPr="007C48C1">
              <w:rPr>
                <w:sz w:val="16"/>
                <w:szCs w:val="16"/>
              </w:rPr>
              <w:t>21.6.2016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-2 862 400,00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ROZOP č. 26/2016 - fakt. </w:t>
            </w:r>
            <w:proofErr w:type="spellStart"/>
            <w:r w:rsidRPr="007C48C1">
              <w:rPr>
                <w:sz w:val="16"/>
                <w:szCs w:val="16"/>
              </w:rPr>
              <w:t>uhr</w:t>
            </w:r>
            <w:proofErr w:type="spellEnd"/>
            <w:r w:rsidRPr="007C48C1">
              <w:rPr>
                <w:sz w:val="16"/>
                <w:szCs w:val="16"/>
              </w:rPr>
              <w:t xml:space="preserve">. v roce 2015 z </w:t>
            </w:r>
            <w:proofErr w:type="spellStart"/>
            <w:r w:rsidRPr="007C48C1">
              <w:rPr>
                <w:sz w:val="16"/>
                <w:szCs w:val="16"/>
              </w:rPr>
              <w:t>prostř</w:t>
            </w:r>
            <w:proofErr w:type="spellEnd"/>
            <w:r w:rsidRPr="007C48C1"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257 133,00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Konečný zůstatek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175 409 403,96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Fond reinvestic nájemného</w:t>
            </w:r>
            <w:r w:rsidRPr="007C48C1">
              <w:rPr>
                <w:b/>
                <w:bCs/>
                <w:sz w:val="16"/>
                <w:szCs w:val="16"/>
              </w:rPr>
              <w:br/>
              <w:t>ÚZ000000005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7C48C1">
              <w:rPr>
                <w:b/>
                <w:bCs/>
                <w:sz w:val="16"/>
                <w:szCs w:val="16"/>
              </w:rPr>
              <w:t>1.1.2016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Schválený rozpočet 2016 - schváleno 12. ZMP ze dne </w:t>
            </w:r>
            <w:proofErr w:type="gramStart"/>
            <w:r w:rsidRPr="007C48C1">
              <w:rPr>
                <w:sz w:val="16"/>
                <w:szCs w:val="16"/>
              </w:rPr>
              <w:t>14.12.2015</w:t>
            </w:r>
            <w:proofErr w:type="gramEnd"/>
            <w:r w:rsidRPr="007C48C1">
              <w:rPr>
                <w:sz w:val="16"/>
                <w:szCs w:val="16"/>
              </w:rPr>
              <w:t xml:space="preserve"> - 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2 187 160,00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13. ZMP ze dne </w:t>
            </w:r>
            <w:proofErr w:type="gramStart"/>
            <w:r w:rsidRPr="007C48C1">
              <w:rPr>
                <w:sz w:val="16"/>
                <w:szCs w:val="16"/>
              </w:rPr>
              <w:t>15.2.2016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-2 187 160,00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 xml:space="preserve">Konečný zůstatek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Fond zeleně</w:t>
            </w:r>
            <w:r w:rsidRPr="007C48C1">
              <w:rPr>
                <w:b/>
                <w:bCs/>
                <w:sz w:val="16"/>
                <w:szCs w:val="16"/>
              </w:rPr>
              <w:br/>
              <w:t>ÚZ000000006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 w:rsidRPr="007C48C1">
              <w:rPr>
                <w:b/>
                <w:bCs/>
                <w:sz w:val="16"/>
                <w:szCs w:val="16"/>
              </w:rPr>
              <w:t>1.1.2016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206 340,24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Schválený rozpočet 2016 - schváleno 12. ZMP ze dne </w:t>
            </w:r>
            <w:proofErr w:type="gramStart"/>
            <w:r w:rsidRPr="007C48C1">
              <w:rPr>
                <w:sz w:val="16"/>
                <w:szCs w:val="16"/>
              </w:rPr>
              <w:t>14.12.2015</w:t>
            </w:r>
            <w:proofErr w:type="gramEnd"/>
            <w:r w:rsidRPr="007C48C1">
              <w:rPr>
                <w:sz w:val="16"/>
                <w:szCs w:val="16"/>
              </w:rPr>
              <w:t xml:space="preserve"> - příspěvek z rozpočtu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2 000 000,00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43. RMP dne </w:t>
            </w:r>
            <w:proofErr w:type="gramStart"/>
            <w:r w:rsidRPr="007C48C1">
              <w:rPr>
                <w:sz w:val="16"/>
                <w:szCs w:val="16"/>
              </w:rPr>
              <w:t>24.5.2016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-1 950 000,00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 xml:space="preserve">Upravený rozpočet 2016 - schváleno </w:t>
            </w:r>
            <w:proofErr w:type="spellStart"/>
            <w:r w:rsidRPr="007C48C1">
              <w:rPr>
                <w:sz w:val="16"/>
                <w:szCs w:val="16"/>
              </w:rPr>
              <w:t>usn</w:t>
            </w:r>
            <w:proofErr w:type="spellEnd"/>
            <w:r w:rsidRPr="007C48C1">
              <w:rPr>
                <w:sz w:val="16"/>
                <w:szCs w:val="16"/>
              </w:rPr>
              <w:t xml:space="preserve">. 16. ZMP ze dne </w:t>
            </w:r>
            <w:proofErr w:type="gramStart"/>
            <w:r w:rsidRPr="007C48C1">
              <w:rPr>
                <w:sz w:val="16"/>
                <w:szCs w:val="16"/>
              </w:rPr>
              <w:t>6.6.2016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48C1">
              <w:rPr>
                <w:sz w:val="16"/>
                <w:szCs w:val="16"/>
              </w:rPr>
              <w:t>436 649,00</w:t>
            </w:r>
          </w:p>
        </w:tc>
      </w:tr>
      <w:tr w:rsidR="00815D66" w:rsidRPr="007C48C1" w:rsidTr="00B23BCC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 xml:space="preserve">Konečný zůstatek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692 989,24</w:t>
            </w:r>
          </w:p>
        </w:tc>
      </w:tr>
      <w:tr w:rsidR="00815D66" w:rsidRPr="007C48C1" w:rsidTr="00B23BCC">
        <w:trPr>
          <w:trHeight w:val="255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5D66" w:rsidRPr="007C48C1" w:rsidRDefault="00815D66" w:rsidP="00B23BC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Volné zdroje města uložené v trvalých peněžních fondech města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D66" w:rsidRPr="007C48C1" w:rsidRDefault="00815D66" w:rsidP="00B23BC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C48C1">
              <w:rPr>
                <w:b/>
                <w:bCs/>
                <w:sz w:val="16"/>
                <w:szCs w:val="16"/>
              </w:rPr>
              <w:t>176 102 393,90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5B" w:rsidRPr="00815D66" w:rsidRDefault="0052585B" w:rsidP="005258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815D66">
              <w:rPr>
                <w:b/>
                <w:bCs/>
                <w:sz w:val="16"/>
                <w:szCs w:val="16"/>
              </w:rPr>
              <w:t>Sociální fond</w:t>
            </w:r>
            <w:r w:rsidRPr="00815D66">
              <w:rPr>
                <w:b/>
                <w:bCs/>
                <w:sz w:val="16"/>
                <w:szCs w:val="16"/>
              </w:rPr>
              <w:br/>
              <w:t>Kapitola 0000000071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52585B" w:rsidP="00815D66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815D66">
              <w:rPr>
                <w:b/>
                <w:bCs/>
                <w:color w:val="000000"/>
                <w:sz w:val="16"/>
                <w:szCs w:val="16"/>
              </w:rPr>
              <w:t xml:space="preserve">Počáteční zůstatek k </w:t>
            </w:r>
            <w:proofErr w:type="gramStart"/>
            <w:r w:rsidRPr="00815D66">
              <w:rPr>
                <w:b/>
                <w:bCs/>
                <w:color w:val="000000"/>
                <w:sz w:val="16"/>
                <w:szCs w:val="16"/>
              </w:rPr>
              <w:t>1.1.201</w:t>
            </w:r>
            <w:r w:rsidR="00815D66">
              <w:rPr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  <w:r w:rsidRPr="00815D6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815D66" w:rsidP="0052585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583 123,31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815D66" w:rsidRDefault="0052585B" w:rsidP="00525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52585B" w:rsidP="00815D66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815D66">
              <w:rPr>
                <w:color w:val="000000"/>
                <w:sz w:val="16"/>
                <w:szCs w:val="16"/>
              </w:rPr>
              <w:t xml:space="preserve">Zdroje k </w:t>
            </w:r>
            <w:proofErr w:type="gramStart"/>
            <w:r w:rsidRPr="00815D66">
              <w:rPr>
                <w:color w:val="000000"/>
                <w:sz w:val="16"/>
                <w:szCs w:val="16"/>
              </w:rPr>
              <w:t>30.6.201</w:t>
            </w:r>
            <w:r w:rsidR="00815D66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1B64C1" w:rsidP="0052585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2 835 414,00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815D66" w:rsidRDefault="0052585B" w:rsidP="00525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52585B" w:rsidP="00815D66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815D66">
              <w:rPr>
                <w:color w:val="000000"/>
                <w:sz w:val="16"/>
                <w:szCs w:val="16"/>
              </w:rPr>
              <w:t xml:space="preserve">Užití k </w:t>
            </w:r>
            <w:proofErr w:type="gramStart"/>
            <w:r w:rsidRPr="00815D66">
              <w:rPr>
                <w:color w:val="000000"/>
                <w:sz w:val="16"/>
                <w:szCs w:val="16"/>
              </w:rPr>
              <w:t>30.6.201</w:t>
            </w:r>
            <w:r w:rsidR="00815D66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1B64C1" w:rsidP="0052585B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-1 596 055,41</w:t>
            </w:r>
          </w:p>
        </w:tc>
      </w:tr>
      <w:tr w:rsidR="0052585B" w:rsidRPr="0052585B" w:rsidTr="0052585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5B" w:rsidRPr="00815D66" w:rsidRDefault="0052585B" w:rsidP="005258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5B" w:rsidRPr="00815D66" w:rsidRDefault="009F3F23" w:rsidP="00815D66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815D66">
              <w:rPr>
                <w:b/>
                <w:bCs/>
                <w:sz w:val="16"/>
                <w:szCs w:val="16"/>
              </w:rPr>
              <w:t>Konečný zůstatek k </w:t>
            </w:r>
            <w:proofErr w:type="gramStart"/>
            <w:r w:rsidRPr="00815D66">
              <w:rPr>
                <w:b/>
                <w:bCs/>
                <w:sz w:val="16"/>
                <w:szCs w:val="16"/>
              </w:rPr>
              <w:t>30.6.201</w:t>
            </w:r>
            <w:r w:rsidR="00815D66">
              <w:rPr>
                <w:b/>
                <w:bCs/>
                <w:sz w:val="16"/>
                <w:szCs w:val="16"/>
              </w:rPr>
              <w:t>6</w:t>
            </w:r>
            <w:proofErr w:type="gramEnd"/>
            <w:r w:rsidR="00B56C8B">
              <w:rPr>
                <w:b/>
                <w:bCs/>
                <w:sz w:val="16"/>
                <w:szCs w:val="16"/>
              </w:rPr>
              <w:t xml:space="preserve"> 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585B" w:rsidRPr="00815D66" w:rsidRDefault="00235F2F" w:rsidP="0052585B">
            <w:pPr>
              <w:autoSpaceDE/>
              <w:autoSpaceDN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1 822 481,90</w:t>
            </w:r>
          </w:p>
        </w:tc>
      </w:tr>
    </w:tbl>
    <w:p w:rsidR="00CC365C" w:rsidRDefault="00CC365C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6C8B" w:rsidRDefault="00B56C8B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Poznámka:</w:t>
      </w:r>
    </w:p>
    <w:p w:rsidR="00B56C8B" w:rsidRPr="00B56C8B" w:rsidRDefault="00B56C8B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*) rozdíl 15,59 Kč – rozdíl zůstatku k </w:t>
      </w:r>
      <w:proofErr w:type="gramStart"/>
      <w:r>
        <w:rPr>
          <w:rFonts w:ascii="Times New Roman" w:hAnsi="Times New Roman" w:cs="Times New Roman"/>
          <w:b w:val="0"/>
          <w:bCs w:val="0"/>
          <w:sz w:val="16"/>
          <w:szCs w:val="16"/>
        </w:rPr>
        <w:t>30.6.2016</w:t>
      </w:r>
      <w:proofErr w:type="gramEnd"/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sociálního fondu v evidence a na bankovním účtu  – doúčtování kurzového rozdílu v KDF 000654. K </w:t>
      </w:r>
      <w:proofErr w:type="gramStart"/>
      <w:r>
        <w:rPr>
          <w:rFonts w:ascii="Times New Roman" w:hAnsi="Times New Roman" w:cs="Times New Roman"/>
          <w:b w:val="0"/>
          <w:bCs w:val="0"/>
          <w:sz w:val="16"/>
          <w:szCs w:val="16"/>
        </w:rPr>
        <w:t>31.12.2016</w:t>
      </w:r>
      <w:proofErr w:type="gramEnd"/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budou kurzové rozdíly u sociálního fondu refundovány z výdajového účtu. Rozdíl bude srovnán.</w:t>
      </w:r>
    </w:p>
    <w:p w:rsidR="009F3F23" w:rsidRDefault="009F3F23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9007E" w:rsidRPr="00AC1B68" w:rsidRDefault="0059007E" w:rsidP="00AE5505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46C5F" w:rsidRPr="00C52F1D" w:rsidRDefault="00946C5F" w:rsidP="00AE5505">
      <w:pPr>
        <w:jc w:val="both"/>
        <w:rPr>
          <w:b/>
          <w:bCs/>
          <w:sz w:val="24"/>
          <w:szCs w:val="24"/>
          <w:u w:val="single"/>
        </w:rPr>
      </w:pPr>
      <w:r w:rsidRPr="00D777F6">
        <w:rPr>
          <w:b/>
          <w:bCs/>
          <w:sz w:val="24"/>
          <w:szCs w:val="24"/>
          <w:u w:val="single"/>
          <w:shd w:val="clear" w:color="auto" w:fill="FFC000"/>
        </w:rPr>
        <w:t xml:space="preserve">Obchodní </w:t>
      </w:r>
      <w:r w:rsidR="001B64C1">
        <w:rPr>
          <w:b/>
          <w:bCs/>
          <w:sz w:val="24"/>
          <w:szCs w:val="24"/>
          <w:u w:val="single"/>
          <w:shd w:val="clear" w:color="auto" w:fill="FFC000"/>
        </w:rPr>
        <w:t>korporace</w:t>
      </w:r>
      <w:r w:rsidRPr="00D777F6">
        <w:rPr>
          <w:b/>
          <w:bCs/>
          <w:sz w:val="24"/>
          <w:szCs w:val="24"/>
          <w:u w:val="single"/>
          <w:shd w:val="clear" w:color="auto" w:fill="FFC000"/>
        </w:rPr>
        <w:t xml:space="preserve"> založené městem, kde jediným společníkem je město Prostějov</w:t>
      </w:r>
    </w:p>
    <w:p w:rsidR="00946C5F" w:rsidRPr="00AC1B68" w:rsidRDefault="00946C5F" w:rsidP="00AE5505">
      <w:pPr>
        <w:jc w:val="both"/>
        <w:rPr>
          <w:b/>
          <w:bCs/>
          <w:u w:val="single"/>
        </w:rPr>
      </w:pPr>
    </w:p>
    <w:p w:rsidR="00AE5505" w:rsidRDefault="00946C5F" w:rsidP="00AE5505">
      <w:pPr>
        <w:jc w:val="both"/>
        <w:rPr>
          <w:b/>
          <w:bCs/>
        </w:rPr>
      </w:pPr>
      <w:r w:rsidRPr="00C52F1D">
        <w:tab/>
      </w:r>
      <w:r w:rsidR="008350CE" w:rsidRPr="008350CE">
        <w:t>Průběžné v</w:t>
      </w:r>
      <w:r w:rsidRPr="008350CE">
        <w:t xml:space="preserve">ýsledky hospodaření obchodních </w:t>
      </w:r>
      <w:r w:rsidR="008350CE" w:rsidRPr="008350CE">
        <w:t>korporací</w:t>
      </w:r>
      <w:r w:rsidRPr="008350CE">
        <w:t xml:space="preserve"> založených městem, kde jediným společníkem je </w:t>
      </w:r>
      <w:r w:rsidR="00280AE3" w:rsidRPr="008350CE">
        <w:t xml:space="preserve">statutární </w:t>
      </w:r>
      <w:r w:rsidRPr="008350CE">
        <w:t>město Prostějov (LMP, s.r.o., DSP, s.r.o.), za I. pololetí roku 20</w:t>
      </w:r>
      <w:r w:rsidR="00F577EC" w:rsidRPr="008350CE">
        <w:t>1</w:t>
      </w:r>
      <w:r w:rsidR="001B64C1">
        <w:t>6</w:t>
      </w:r>
      <w:r w:rsidRPr="008350CE">
        <w:t xml:space="preserve"> budou projednány samostatně při jednání RMP v působnosti valných hromad těchto společností. LMP, s.r.o. vykázaly, dle "Výkazu zisku a ztráty </w:t>
      </w:r>
      <w:r w:rsidRPr="00B30C4E">
        <w:t xml:space="preserve">k </w:t>
      </w:r>
      <w:proofErr w:type="gramStart"/>
      <w:r w:rsidRPr="00B30C4E">
        <w:t>30.6.20</w:t>
      </w:r>
      <w:r w:rsidR="005765D5" w:rsidRPr="00B30C4E">
        <w:t>1</w:t>
      </w:r>
      <w:r w:rsidR="001B64C1" w:rsidRPr="00B30C4E">
        <w:t>6</w:t>
      </w:r>
      <w:proofErr w:type="gramEnd"/>
      <w:r w:rsidRPr="00B30C4E">
        <w:t xml:space="preserve">", za sledované období průběžný zisk ve výši </w:t>
      </w:r>
      <w:r w:rsidR="00B30C4E" w:rsidRPr="00B30C4E">
        <w:rPr>
          <w:b/>
          <w:bCs/>
        </w:rPr>
        <w:t>4.913,09</w:t>
      </w:r>
      <w:r w:rsidRPr="00B30C4E">
        <w:rPr>
          <w:b/>
          <w:bCs/>
        </w:rPr>
        <w:t xml:space="preserve"> tis. Kč</w:t>
      </w:r>
      <w:r w:rsidR="008350CE" w:rsidRPr="00B30C4E">
        <w:rPr>
          <w:b/>
          <w:bCs/>
        </w:rPr>
        <w:t xml:space="preserve"> </w:t>
      </w:r>
      <w:r w:rsidR="008350CE" w:rsidRPr="00B30C4E">
        <w:rPr>
          <w:bCs/>
        </w:rPr>
        <w:t>a</w:t>
      </w:r>
      <w:r w:rsidRPr="00B30C4E">
        <w:t xml:space="preserve"> DSP, s.r.o. </w:t>
      </w:r>
      <w:r w:rsidR="008350CE" w:rsidRPr="00B30C4E">
        <w:t xml:space="preserve">průběžný zisk </w:t>
      </w:r>
      <w:r w:rsidRPr="00B30C4E">
        <w:t>ve výši</w:t>
      </w:r>
      <w:r w:rsidRPr="008350CE">
        <w:t xml:space="preserve"> </w:t>
      </w:r>
      <w:bookmarkStart w:id="2" w:name="_GoBack"/>
      <w:bookmarkEnd w:id="2"/>
      <w:r w:rsidR="00EC5A5E" w:rsidRPr="00EC5A5E">
        <w:rPr>
          <w:b/>
          <w:bCs/>
        </w:rPr>
        <w:t>3.368,41</w:t>
      </w:r>
      <w:r w:rsidRPr="00EC5A5E">
        <w:rPr>
          <w:b/>
          <w:bCs/>
        </w:rPr>
        <w:t xml:space="preserve"> tis. Kč</w:t>
      </w:r>
      <w:r w:rsidRPr="008350CE">
        <w:rPr>
          <w:b/>
          <w:bCs/>
        </w:rPr>
        <w:t>.</w:t>
      </w:r>
    </w:p>
    <w:p w:rsidR="007B1B91" w:rsidRDefault="007B1B91" w:rsidP="00AE5505">
      <w:pPr>
        <w:jc w:val="both"/>
        <w:rPr>
          <w:b/>
          <w:bCs/>
        </w:rPr>
      </w:pPr>
    </w:p>
    <w:p w:rsidR="007B1B91" w:rsidRDefault="007B1B91" w:rsidP="00AE5505">
      <w:pPr>
        <w:jc w:val="both"/>
        <w:rPr>
          <w:b/>
          <w:bCs/>
        </w:rPr>
      </w:pPr>
    </w:p>
    <w:p w:rsidR="000736F3" w:rsidRPr="00AE5505" w:rsidRDefault="000736F3" w:rsidP="00AE5505">
      <w:pPr>
        <w:jc w:val="both"/>
        <w:rPr>
          <w:b/>
          <w:bCs/>
        </w:rPr>
      </w:pPr>
      <w:r w:rsidRPr="00D777F6">
        <w:rPr>
          <w:b/>
          <w:bCs/>
          <w:sz w:val="24"/>
          <w:szCs w:val="24"/>
          <w:u w:val="single"/>
          <w:shd w:val="clear" w:color="auto" w:fill="FFC000"/>
        </w:rPr>
        <w:t xml:space="preserve">Majetková účast města Prostějova v obchodních </w:t>
      </w:r>
      <w:r w:rsidR="00320F6B">
        <w:rPr>
          <w:b/>
          <w:bCs/>
          <w:sz w:val="24"/>
          <w:szCs w:val="24"/>
          <w:u w:val="single"/>
          <w:shd w:val="clear" w:color="auto" w:fill="FFC000"/>
        </w:rPr>
        <w:t>korporacích</w:t>
      </w:r>
      <w:r w:rsidRPr="00D777F6">
        <w:rPr>
          <w:b/>
          <w:bCs/>
          <w:sz w:val="24"/>
          <w:szCs w:val="24"/>
          <w:u w:val="single"/>
          <w:shd w:val="clear" w:color="auto" w:fill="FFC000"/>
        </w:rPr>
        <w:t>, ve kterých město disponuje nejméně 10% hlasovacích práv v tis. Kč</w:t>
      </w:r>
      <w:r w:rsidR="00D777F6">
        <w:rPr>
          <w:b/>
          <w:bCs/>
          <w:sz w:val="24"/>
          <w:szCs w:val="24"/>
          <w:u w:val="single"/>
          <w:shd w:val="clear" w:color="auto" w:fill="FFC000"/>
        </w:rPr>
        <w:t xml:space="preserve"> k </w:t>
      </w:r>
      <w:proofErr w:type="gramStart"/>
      <w:r w:rsidR="00D777F6">
        <w:rPr>
          <w:b/>
          <w:bCs/>
          <w:sz w:val="24"/>
          <w:szCs w:val="24"/>
          <w:u w:val="single"/>
          <w:shd w:val="clear" w:color="auto" w:fill="FFC000"/>
        </w:rPr>
        <w:t>30.6.201</w:t>
      </w:r>
      <w:r w:rsidR="001B64C1">
        <w:rPr>
          <w:b/>
          <w:bCs/>
          <w:sz w:val="24"/>
          <w:szCs w:val="24"/>
          <w:u w:val="single"/>
          <w:shd w:val="clear" w:color="auto" w:fill="FFC000"/>
        </w:rPr>
        <w:t>6</w:t>
      </w:r>
      <w:proofErr w:type="gramEnd"/>
    </w:p>
    <w:p w:rsidR="00A90D9A" w:rsidRPr="00AC1B68" w:rsidRDefault="00A90D9A" w:rsidP="00AE5505">
      <w:pPr>
        <w:pStyle w:val="Zkladntext3"/>
        <w:shd w:val="clear" w:color="auto" w:fill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20"/>
        <w:gridCol w:w="863"/>
        <w:gridCol w:w="850"/>
        <w:gridCol w:w="861"/>
        <w:gridCol w:w="982"/>
        <w:gridCol w:w="992"/>
        <w:gridCol w:w="905"/>
        <w:gridCol w:w="949"/>
      </w:tblGrid>
      <w:tr w:rsidR="00CD37D5" w:rsidRPr="007E0E5B" w:rsidTr="00360870">
        <w:trPr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br/>
              <w:t>Název obchodní korporace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br/>
              <w:t xml:space="preserve">Pořizovací cena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br/>
              <w:t>Podíl města v 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t xml:space="preserve">Nominální hodnota podílu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20F6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t xml:space="preserve">Základní kapitál obch. </w:t>
            </w:r>
            <w:proofErr w:type="gramStart"/>
            <w:r w:rsidR="00320F6B">
              <w:rPr>
                <w:b/>
                <w:bCs/>
                <w:sz w:val="16"/>
                <w:szCs w:val="16"/>
              </w:rPr>
              <w:t>korporace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20F6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t xml:space="preserve">Vlastní kapitál obch. </w:t>
            </w:r>
            <w:proofErr w:type="gramStart"/>
            <w:r w:rsidR="00320F6B">
              <w:rPr>
                <w:b/>
                <w:bCs/>
                <w:sz w:val="16"/>
                <w:szCs w:val="16"/>
              </w:rPr>
              <w:t>korporace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E5B">
              <w:rPr>
                <w:b/>
                <w:bCs/>
                <w:color w:val="000000"/>
                <w:sz w:val="16"/>
                <w:szCs w:val="16"/>
              </w:rPr>
              <w:t>Ocenění ekvivalencí **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E5B">
              <w:rPr>
                <w:b/>
                <w:bCs/>
                <w:color w:val="000000"/>
                <w:sz w:val="16"/>
                <w:szCs w:val="16"/>
              </w:rPr>
              <w:t xml:space="preserve">Oceň. </w:t>
            </w:r>
            <w:proofErr w:type="gramStart"/>
            <w:r w:rsidRPr="007E0E5B">
              <w:rPr>
                <w:b/>
                <w:bCs/>
                <w:color w:val="000000"/>
                <w:sz w:val="16"/>
                <w:szCs w:val="16"/>
              </w:rPr>
              <w:t>rozdíl</w:t>
            </w:r>
            <w:proofErr w:type="gramEnd"/>
            <w:r w:rsidRPr="007E0E5B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E0E5B">
              <w:rPr>
                <w:b/>
                <w:bCs/>
                <w:color w:val="000000"/>
                <w:sz w:val="16"/>
                <w:szCs w:val="16"/>
              </w:rPr>
              <w:t>oc</w:t>
            </w:r>
            <w:proofErr w:type="spellEnd"/>
            <w:r w:rsidRPr="007E0E5B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E0E5B">
              <w:rPr>
                <w:b/>
                <w:bCs/>
                <w:color w:val="000000"/>
                <w:sz w:val="16"/>
                <w:szCs w:val="16"/>
              </w:rPr>
              <w:t>ekv</w:t>
            </w:r>
            <w:proofErr w:type="spellEnd"/>
            <w:r w:rsidRPr="007E0E5B">
              <w:rPr>
                <w:b/>
                <w:bCs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7E0E5B">
              <w:rPr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7E0E5B">
              <w:rPr>
                <w:b/>
                <w:bCs/>
                <w:color w:val="000000"/>
                <w:sz w:val="16"/>
                <w:szCs w:val="16"/>
              </w:rPr>
              <w:t>. cena)</w:t>
            </w:r>
          </w:p>
        </w:tc>
      </w:tr>
      <w:tr w:rsidR="00CD37D5" w:rsidRPr="007E0E5B" w:rsidTr="00CD37D5">
        <w:trPr>
          <w:trHeight w:val="2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Vodovody a kanalizace Prostějov, a.s.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420 914,98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360870" w:rsidP="00320F6B">
            <w:pPr>
              <w:autoSpaceDE/>
              <w:autoSpaceDN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341 505,00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360870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360870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620 831,00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420 215,79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80 661,50</w:t>
            </w:r>
          </w:p>
        </w:tc>
      </w:tr>
      <w:tr w:rsidR="00CD37D5" w:rsidRPr="007E0E5B" w:rsidTr="00CD37D5">
        <w:trPr>
          <w:trHeight w:val="2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Domovní správa Prostějov, s.r.o.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265 642,00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91 100,00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197 074,00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197 074,00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-68 568,00</w:t>
            </w:r>
          </w:p>
        </w:tc>
      </w:tr>
      <w:tr w:rsidR="00CD37D5" w:rsidRPr="007E0E5B" w:rsidTr="00CD37D5">
        <w:trPr>
          <w:trHeight w:val="2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.A.</w:t>
            </w:r>
            <w:proofErr w:type="gramStart"/>
            <w:r w:rsidRPr="007E0E5B">
              <w:rPr>
                <w:sz w:val="16"/>
                <w:szCs w:val="16"/>
              </w:rPr>
              <w:t>S.A.</w:t>
            </w:r>
            <w:proofErr w:type="gramEnd"/>
            <w:r w:rsidRPr="007E0E5B">
              <w:rPr>
                <w:sz w:val="16"/>
                <w:szCs w:val="16"/>
              </w:rPr>
              <w:t>, TS Prostějov, s.r.o.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11 114,16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25,000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11 114,00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44 456,00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56 669,00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14 167,25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3 053,09</w:t>
            </w:r>
          </w:p>
        </w:tc>
      </w:tr>
      <w:tr w:rsidR="00CD37D5" w:rsidRPr="007E0E5B" w:rsidTr="00CD37D5">
        <w:trPr>
          <w:trHeight w:val="2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FTL-</w:t>
            </w:r>
            <w:proofErr w:type="spellStart"/>
            <w:r w:rsidRPr="007E0E5B">
              <w:rPr>
                <w:sz w:val="16"/>
                <w:szCs w:val="16"/>
              </w:rPr>
              <w:t>First</w:t>
            </w:r>
            <w:proofErr w:type="spellEnd"/>
            <w:r w:rsidRPr="007E0E5B">
              <w:rPr>
                <w:sz w:val="16"/>
                <w:szCs w:val="16"/>
              </w:rPr>
              <w:t xml:space="preserve"> Transport Lines, a.s.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2 636,21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10,001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6 728,00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67 274,00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133 686,00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13 370,59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10 734,38</w:t>
            </w:r>
          </w:p>
        </w:tc>
      </w:tr>
      <w:tr w:rsidR="00CD37D5" w:rsidRPr="007E0E5B" w:rsidTr="00CD37D5">
        <w:trPr>
          <w:trHeight w:val="2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Lesy města Prostějova, s.r.o.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7D5" w:rsidRPr="007E0E5B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12 665,00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12 665,00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D5" w:rsidRPr="00A50A50" w:rsidRDefault="00CD37D5" w:rsidP="00CD37D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A50A50">
              <w:rPr>
                <w:sz w:val="16"/>
                <w:szCs w:val="16"/>
              </w:rPr>
              <w:t>12 565,00</w:t>
            </w:r>
          </w:p>
        </w:tc>
      </w:tr>
      <w:tr w:rsidR="00CD37D5" w:rsidRPr="007E0E5B" w:rsidTr="00360870">
        <w:trPr>
          <w:trHeight w:val="2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D37D5" w:rsidRPr="007E0E5B" w:rsidRDefault="00CD37D5" w:rsidP="00360870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CD37D5" w:rsidRPr="007E0E5B" w:rsidRDefault="00CD37D5" w:rsidP="00360870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7E0E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D37D5" w:rsidRPr="007E0E5B" w:rsidRDefault="00CD37D5" w:rsidP="00360870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700 407,35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D37D5" w:rsidRPr="007E0E5B" w:rsidRDefault="00CD37D5" w:rsidP="0036087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  <w:r w:rsidRPr="007E0E5B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7E0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7E0E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37D5" w:rsidRPr="007E0E5B" w:rsidTr="00360870">
        <w:trPr>
          <w:trHeight w:val="22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CD37D5" w:rsidRPr="007E0E5B" w:rsidTr="00360870">
        <w:trPr>
          <w:trHeight w:val="420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i/>
                <w:iCs/>
                <w:color w:val="000000"/>
                <w:sz w:val="16"/>
                <w:szCs w:val="16"/>
              </w:rPr>
            </w:pPr>
            <w:r w:rsidRPr="007E0E5B">
              <w:rPr>
                <w:i/>
                <w:iCs/>
                <w:color w:val="000000"/>
                <w:sz w:val="16"/>
                <w:szCs w:val="16"/>
              </w:rPr>
              <w:t>* V ocenění je zahrnuto pořízení akcií bezúplatným převodem z Fondu národního majetku ČR v rámci privatizace majetku ČR, a to ve výši jejich nominální hodnoty tj. 168.972 tis. Kč.</w:t>
            </w:r>
          </w:p>
        </w:tc>
      </w:tr>
      <w:tr w:rsidR="00CD37D5" w:rsidRPr="007E0E5B" w:rsidTr="00360870">
        <w:trPr>
          <w:trHeight w:val="22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i/>
                <w:iCs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CD37D5" w:rsidRPr="007E0E5B" w:rsidTr="00360870">
        <w:trPr>
          <w:trHeight w:val="225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D5" w:rsidRPr="007E0E5B" w:rsidRDefault="00CD37D5" w:rsidP="00360870">
            <w:pPr>
              <w:autoSpaceDE/>
              <w:autoSpaceDN/>
              <w:rPr>
                <w:i/>
                <w:iCs/>
                <w:color w:val="000000"/>
                <w:sz w:val="16"/>
                <w:szCs w:val="16"/>
              </w:rPr>
            </w:pPr>
            <w:r w:rsidRPr="007E0E5B">
              <w:rPr>
                <w:i/>
                <w:iCs/>
                <w:color w:val="000000"/>
                <w:sz w:val="16"/>
                <w:szCs w:val="16"/>
              </w:rPr>
              <w:t>** Ocenění ekvivalencí = ocenění majetkových účastí podílem na vlastním kapitálu.</w:t>
            </w:r>
          </w:p>
        </w:tc>
      </w:tr>
    </w:tbl>
    <w:p w:rsidR="0011442E" w:rsidRDefault="0011442E" w:rsidP="009D103F">
      <w:pPr>
        <w:pStyle w:val="Zkladntext3"/>
        <w:shd w:val="clear" w:color="auto" w:fill="auto"/>
        <w:autoSpaceDE w:val="0"/>
        <w:autoSpaceDN w:val="0"/>
        <w:ind w:left="567" w:hanging="567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Pr="0011442E" w:rsidRDefault="0011442E" w:rsidP="0011442E"/>
    <w:p w:rsidR="0011442E" w:rsidRDefault="0011442E" w:rsidP="0011442E"/>
    <w:p w:rsidR="00394525" w:rsidRPr="0011442E" w:rsidRDefault="0011442E" w:rsidP="0011442E">
      <w:pPr>
        <w:tabs>
          <w:tab w:val="left" w:pos="1125"/>
        </w:tabs>
      </w:pPr>
      <w:r>
        <w:tab/>
      </w:r>
    </w:p>
    <w:sectPr w:rsidR="00394525" w:rsidRPr="0011442E" w:rsidSect="00542091">
      <w:footerReference w:type="default" r:id="rId11"/>
      <w:pgSz w:w="11906" w:h="16838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4B" w:rsidRDefault="00E00F4B">
      <w:r>
        <w:separator/>
      </w:r>
    </w:p>
  </w:endnote>
  <w:endnote w:type="continuationSeparator" w:id="0">
    <w:p w:rsidR="00E00F4B" w:rsidRDefault="00E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D2" w:rsidRDefault="00097FD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0C4E">
      <w:rPr>
        <w:rStyle w:val="slostrnky"/>
        <w:noProof/>
      </w:rPr>
      <w:t>9</w:t>
    </w:r>
    <w:r>
      <w:rPr>
        <w:rStyle w:val="slostrnky"/>
      </w:rPr>
      <w:fldChar w:fldCharType="end"/>
    </w:r>
  </w:p>
  <w:p w:rsidR="00097FD2" w:rsidRDefault="00097FD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4B" w:rsidRDefault="00E00F4B">
      <w:r>
        <w:separator/>
      </w:r>
    </w:p>
  </w:footnote>
  <w:footnote w:type="continuationSeparator" w:id="0">
    <w:p w:rsidR="00E00F4B" w:rsidRDefault="00E0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04F2F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C32DFE"/>
    <w:multiLevelType w:val="hybridMultilevel"/>
    <w:tmpl w:val="15443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7A5CFE"/>
    <w:multiLevelType w:val="hybridMultilevel"/>
    <w:tmpl w:val="97AAE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8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613F98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8E72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037B75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B44A07"/>
    <w:multiLevelType w:val="singleLevel"/>
    <w:tmpl w:val="94E810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15296A67"/>
    <w:multiLevelType w:val="hybridMultilevel"/>
    <w:tmpl w:val="A134CD9A"/>
    <w:lvl w:ilvl="0" w:tplc="68DAE52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04E2B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D035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746D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C97A06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FE1A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7D7C7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000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6461F4"/>
    <w:multiLevelType w:val="hybridMultilevel"/>
    <w:tmpl w:val="44EEF14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2E05E6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8EC46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CC63EB"/>
    <w:multiLevelType w:val="hybridMultilevel"/>
    <w:tmpl w:val="907A2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071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EB25115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6629C3"/>
    <w:multiLevelType w:val="hybridMultilevel"/>
    <w:tmpl w:val="AE3CB52C"/>
    <w:lvl w:ilvl="0" w:tplc="68DAE520">
      <w:start w:val="1"/>
      <w:numFmt w:val="bullet"/>
      <w:lvlText w:val=""/>
      <w:lvlJc w:val="left"/>
      <w:pPr>
        <w:tabs>
          <w:tab w:val="num" w:pos="723"/>
        </w:tabs>
        <w:ind w:left="703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5">
    <w:nsid w:val="574000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B8A0BAF"/>
    <w:multiLevelType w:val="singleLevel"/>
    <w:tmpl w:val="94E810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5E2F0BD7"/>
    <w:multiLevelType w:val="multilevel"/>
    <w:tmpl w:val="AFACD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C049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274F4A"/>
    <w:multiLevelType w:val="hybridMultilevel"/>
    <w:tmpl w:val="400A09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E77D71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031049"/>
    <w:multiLevelType w:val="hybridMultilevel"/>
    <w:tmpl w:val="01D22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3598A"/>
    <w:multiLevelType w:val="hybridMultilevel"/>
    <w:tmpl w:val="BEA08A64"/>
    <w:lvl w:ilvl="0" w:tplc="57A498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854D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CF351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6045586"/>
    <w:multiLevelType w:val="hybridMultilevel"/>
    <w:tmpl w:val="6FE89FA0"/>
    <w:lvl w:ilvl="0" w:tplc="68DAE52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C535FA"/>
    <w:multiLevelType w:val="hybridMultilevel"/>
    <w:tmpl w:val="35406706"/>
    <w:lvl w:ilvl="0" w:tplc="A290F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D06381"/>
    <w:multiLevelType w:val="singleLevel"/>
    <w:tmpl w:val="94E810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8">
    <w:nsid w:val="7B182D56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9108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1447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8"/>
  </w:num>
  <w:num w:numId="3">
    <w:abstractNumId w:val="12"/>
  </w:num>
  <w:num w:numId="4">
    <w:abstractNumId w:val="25"/>
  </w:num>
  <w:num w:numId="5">
    <w:abstractNumId w:val="7"/>
  </w:num>
  <w:num w:numId="6">
    <w:abstractNumId w:val="22"/>
  </w:num>
  <w:num w:numId="7">
    <w:abstractNumId w:val="17"/>
  </w:num>
  <w:num w:numId="8">
    <w:abstractNumId w:val="34"/>
  </w:num>
  <w:num w:numId="9">
    <w:abstractNumId w:val="16"/>
  </w:num>
  <w:num w:numId="10">
    <w:abstractNumId w:val="13"/>
  </w:num>
  <w:num w:numId="11">
    <w:abstractNumId w:val="19"/>
  </w:num>
  <w:num w:numId="12">
    <w:abstractNumId w:val="15"/>
  </w:num>
  <w:num w:numId="13">
    <w:abstractNumId w:val="20"/>
  </w:num>
  <w:num w:numId="14">
    <w:abstractNumId w:val="26"/>
  </w:num>
  <w:num w:numId="15">
    <w:abstractNumId w:val="37"/>
  </w:num>
  <w:num w:numId="16">
    <w:abstractNumId w:val="5"/>
  </w:num>
  <w:num w:numId="17">
    <w:abstractNumId w:val="9"/>
  </w:num>
  <w:num w:numId="18">
    <w:abstractNumId w:val="39"/>
  </w:num>
  <w:num w:numId="19">
    <w:abstractNumId w:val="23"/>
  </w:num>
  <w:num w:numId="20">
    <w:abstractNumId w:val="1"/>
  </w:num>
  <w:num w:numId="21">
    <w:abstractNumId w:val="40"/>
  </w:num>
  <w:num w:numId="22">
    <w:abstractNumId w:val="0"/>
  </w:num>
  <w:num w:numId="23">
    <w:abstractNumId w:val="2"/>
  </w:num>
  <w:num w:numId="24">
    <w:abstractNumId w:val="14"/>
  </w:num>
  <w:num w:numId="25">
    <w:abstractNumId w:val="8"/>
  </w:num>
  <w:num w:numId="26">
    <w:abstractNumId w:val="38"/>
  </w:num>
  <w:num w:numId="27">
    <w:abstractNumId w:val="6"/>
  </w:num>
  <w:num w:numId="28">
    <w:abstractNumId w:val="30"/>
  </w:num>
  <w:num w:numId="29">
    <w:abstractNumId w:val="11"/>
  </w:num>
  <w:num w:numId="30">
    <w:abstractNumId w:val="29"/>
  </w:num>
  <w:num w:numId="31">
    <w:abstractNumId w:val="35"/>
  </w:num>
  <w:num w:numId="32">
    <w:abstractNumId w:val="24"/>
  </w:num>
  <w:num w:numId="33">
    <w:abstractNumId w:val="32"/>
  </w:num>
  <w:num w:numId="34">
    <w:abstractNumId w:val="36"/>
  </w:num>
  <w:num w:numId="35">
    <w:abstractNumId w:val="3"/>
  </w:num>
  <w:num w:numId="36">
    <w:abstractNumId w:val="18"/>
  </w:num>
  <w:num w:numId="37">
    <w:abstractNumId w:val="27"/>
  </w:num>
  <w:num w:numId="38">
    <w:abstractNumId w:val="10"/>
  </w:num>
  <w:num w:numId="39">
    <w:abstractNumId w:val="4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0"/>
    <w:rsid w:val="00000520"/>
    <w:rsid w:val="00001625"/>
    <w:rsid w:val="0001147C"/>
    <w:rsid w:val="000129AA"/>
    <w:rsid w:val="00013771"/>
    <w:rsid w:val="00014EE5"/>
    <w:rsid w:val="00031BDA"/>
    <w:rsid w:val="0003478A"/>
    <w:rsid w:val="00034EF0"/>
    <w:rsid w:val="000350AC"/>
    <w:rsid w:val="0003769A"/>
    <w:rsid w:val="00040180"/>
    <w:rsid w:val="000419C1"/>
    <w:rsid w:val="000419C4"/>
    <w:rsid w:val="00043F34"/>
    <w:rsid w:val="00044ABA"/>
    <w:rsid w:val="00047E44"/>
    <w:rsid w:val="000509D1"/>
    <w:rsid w:val="00060AA9"/>
    <w:rsid w:val="00065B4F"/>
    <w:rsid w:val="00066821"/>
    <w:rsid w:val="00067DA1"/>
    <w:rsid w:val="0007304F"/>
    <w:rsid w:val="00073186"/>
    <w:rsid w:val="000736F3"/>
    <w:rsid w:val="00073FEF"/>
    <w:rsid w:val="00077D98"/>
    <w:rsid w:val="000835C4"/>
    <w:rsid w:val="00085163"/>
    <w:rsid w:val="000864B3"/>
    <w:rsid w:val="00087C06"/>
    <w:rsid w:val="0009228C"/>
    <w:rsid w:val="000978F8"/>
    <w:rsid w:val="00097FD2"/>
    <w:rsid w:val="000A1F77"/>
    <w:rsid w:val="000A59E0"/>
    <w:rsid w:val="000B04A6"/>
    <w:rsid w:val="000B3F00"/>
    <w:rsid w:val="000B3F76"/>
    <w:rsid w:val="000C0587"/>
    <w:rsid w:val="000C2205"/>
    <w:rsid w:val="000C2C18"/>
    <w:rsid w:val="000C5B43"/>
    <w:rsid w:val="000C72E8"/>
    <w:rsid w:val="000D12CD"/>
    <w:rsid w:val="000D1E36"/>
    <w:rsid w:val="000D2773"/>
    <w:rsid w:val="000D45CE"/>
    <w:rsid w:val="000D4DA4"/>
    <w:rsid w:val="000E183F"/>
    <w:rsid w:val="000F1F43"/>
    <w:rsid w:val="001035CE"/>
    <w:rsid w:val="001072CF"/>
    <w:rsid w:val="0011442E"/>
    <w:rsid w:val="00117D56"/>
    <w:rsid w:val="001251BA"/>
    <w:rsid w:val="00127532"/>
    <w:rsid w:val="00140CD8"/>
    <w:rsid w:val="00145A51"/>
    <w:rsid w:val="0014658D"/>
    <w:rsid w:val="00151E11"/>
    <w:rsid w:val="00153574"/>
    <w:rsid w:val="00154CD0"/>
    <w:rsid w:val="001614CB"/>
    <w:rsid w:val="0016210C"/>
    <w:rsid w:val="00165FB1"/>
    <w:rsid w:val="0016668D"/>
    <w:rsid w:val="00167036"/>
    <w:rsid w:val="00173306"/>
    <w:rsid w:val="00177EA8"/>
    <w:rsid w:val="00181EE2"/>
    <w:rsid w:val="00181FB6"/>
    <w:rsid w:val="00183CB8"/>
    <w:rsid w:val="00187C74"/>
    <w:rsid w:val="00192AA4"/>
    <w:rsid w:val="00193DFD"/>
    <w:rsid w:val="00197CD4"/>
    <w:rsid w:val="001A0084"/>
    <w:rsid w:val="001A549E"/>
    <w:rsid w:val="001A582A"/>
    <w:rsid w:val="001A74A9"/>
    <w:rsid w:val="001B041F"/>
    <w:rsid w:val="001B1D99"/>
    <w:rsid w:val="001B64C1"/>
    <w:rsid w:val="001C4E45"/>
    <w:rsid w:val="001C55FE"/>
    <w:rsid w:val="001C579F"/>
    <w:rsid w:val="001C7122"/>
    <w:rsid w:val="001D4D06"/>
    <w:rsid w:val="001E0067"/>
    <w:rsid w:val="001E036A"/>
    <w:rsid w:val="001E2AF4"/>
    <w:rsid w:val="001E61A0"/>
    <w:rsid w:val="001F1BCD"/>
    <w:rsid w:val="001F5B52"/>
    <w:rsid w:val="001F6E1B"/>
    <w:rsid w:val="00200074"/>
    <w:rsid w:val="002003CB"/>
    <w:rsid w:val="0020106C"/>
    <w:rsid w:val="0020182A"/>
    <w:rsid w:val="00201F03"/>
    <w:rsid w:val="00201F14"/>
    <w:rsid w:val="00216DFE"/>
    <w:rsid w:val="0022153E"/>
    <w:rsid w:val="0022158C"/>
    <w:rsid w:val="0022207A"/>
    <w:rsid w:val="002237CB"/>
    <w:rsid w:val="002244B4"/>
    <w:rsid w:val="00226E5C"/>
    <w:rsid w:val="00227937"/>
    <w:rsid w:val="00230CC5"/>
    <w:rsid w:val="00231350"/>
    <w:rsid w:val="0023322E"/>
    <w:rsid w:val="00233E56"/>
    <w:rsid w:val="00235883"/>
    <w:rsid w:val="002359C1"/>
    <w:rsid w:val="00235F2F"/>
    <w:rsid w:val="00237999"/>
    <w:rsid w:val="002435B9"/>
    <w:rsid w:val="00243C8D"/>
    <w:rsid w:val="002536E9"/>
    <w:rsid w:val="00254629"/>
    <w:rsid w:val="00255EDD"/>
    <w:rsid w:val="00260E43"/>
    <w:rsid w:val="00262B18"/>
    <w:rsid w:val="00264524"/>
    <w:rsid w:val="00265FD5"/>
    <w:rsid w:val="00270CF3"/>
    <w:rsid w:val="00271681"/>
    <w:rsid w:val="00271CA2"/>
    <w:rsid w:val="00276F12"/>
    <w:rsid w:val="00277843"/>
    <w:rsid w:val="00280AE3"/>
    <w:rsid w:val="00281F7C"/>
    <w:rsid w:val="00284D57"/>
    <w:rsid w:val="00285DC6"/>
    <w:rsid w:val="0028612C"/>
    <w:rsid w:val="00287007"/>
    <w:rsid w:val="002914E2"/>
    <w:rsid w:val="002924F1"/>
    <w:rsid w:val="00295A73"/>
    <w:rsid w:val="002963FA"/>
    <w:rsid w:val="002A53BB"/>
    <w:rsid w:val="002A7C2D"/>
    <w:rsid w:val="002B13B1"/>
    <w:rsid w:val="002B269A"/>
    <w:rsid w:val="002B2B91"/>
    <w:rsid w:val="002B4000"/>
    <w:rsid w:val="002B4DDD"/>
    <w:rsid w:val="002B5D67"/>
    <w:rsid w:val="002C043C"/>
    <w:rsid w:val="002C2C9E"/>
    <w:rsid w:val="002C352C"/>
    <w:rsid w:val="002C47C1"/>
    <w:rsid w:val="002C61DB"/>
    <w:rsid w:val="002C7BD7"/>
    <w:rsid w:val="002D2F52"/>
    <w:rsid w:val="002D7077"/>
    <w:rsid w:val="002E25E9"/>
    <w:rsid w:val="002E52D8"/>
    <w:rsid w:val="002F24E4"/>
    <w:rsid w:val="002F29DC"/>
    <w:rsid w:val="002F4879"/>
    <w:rsid w:val="002F5E4B"/>
    <w:rsid w:val="002F69DA"/>
    <w:rsid w:val="002F787A"/>
    <w:rsid w:val="0030145D"/>
    <w:rsid w:val="00306970"/>
    <w:rsid w:val="00307257"/>
    <w:rsid w:val="00307B82"/>
    <w:rsid w:val="0031316E"/>
    <w:rsid w:val="0031624A"/>
    <w:rsid w:val="003205EB"/>
    <w:rsid w:val="00320F6B"/>
    <w:rsid w:val="00323791"/>
    <w:rsid w:val="003258D6"/>
    <w:rsid w:val="00330124"/>
    <w:rsid w:val="003350F9"/>
    <w:rsid w:val="00340AE7"/>
    <w:rsid w:val="00341D3D"/>
    <w:rsid w:val="00342052"/>
    <w:rsid w:val="0034316A"/>
    <w:rsid w:val="0034401F"/>
    <w:rsid w:val="00345288"/>
    <w:rsid w:val="00350C55"/>
    <w:rsid w:val="00355500"/>
    <w:rsid w:val="0035659D"/>
    <w:rsid w:val="0035762C"/>
    <w:rsid w:val="00360870"/>
    <w:rsid w:val="00360FCF"/>
    <w:rsid w:val="00362581"/>
    <w:rsid w:val="00363857"/>
    <w:rsid w:val="00364738"/>
    <w:rsid w:val="00364B22"/>
    <w:rsid w:val="003703FD"/>
    <w:rsid w:val="003726D9"/>
    <w:rsid w:val="00373640"/>
    <w:rsid w:val="00373864"/>
    <w:rsid w:val="00373C4B"/>
    <w:rsid w:val="0037551C"/>
    <w:rsid w:val="00381D49"/>
    <w:rsid w:val="00382621"/>
    <w:rsid w:val="0038335B"/>
    <w:rsid w:val="00390BBC"/>
    <w:rsid w:val="0039223D"/>
    <w:rsid w:val="00393471"/>
    <w:rsid w:val="00394525"/>
    <w:rsid w:val="00396EF9"/>
    <w:rsid w:val="00397BC7"/>
    <w:rsid w:val="003A1307"/>
    <w:rsid w:val="003A7698"/>
    <w:rsid w:val="003B1123"/>
    <w:rsid w:val="003B2916"/>
    <w:rsid w:val="003C78B8"/>
    <w:rsid w:val="003D1AA1"/>
    <w:rsid w:val="003D2976"/>
    <w:rsid w:val="003D5EDB"/>
    <w:rsid w:val="003E2D2E"/>
    <w:rsid w:val="003E5C2A"/>
    <w:rsid w:val="003E7CC1"/>
    <w:rsid w:val="003F5321"/>
    <w:rsid w:val="003F573E"/>
    <w:rsid w:val="003F57BC"/>
    <w:rsid w:val="003F635A"/>
    <w:rsid w:val="003F689C"/>
    <w:rsid w:val="003F7D90"/>
    <w:rsid w:val="003F7EF3"/>
    <w:rsid w:val="0040208C"/>
    <w:rsid w:val="004044A1"/>
    <w:rsid w:val="00406155"/>
    <w:rsid w:val="004069FF"/>
    <w:rsid w:val="0041004E"/>
    <w:rsid w:val="00411615"/>
    <w:rsid w:val="00420946"/>
    <w:rsid w:val="00424A95"/>
    <w:rsid w:val="004303AC"/>
    <w:rsid w:val="004322B6"/>
    <w:rsid w:val="00435177"/>
    <w:rsid w:val="004362CE"/>
    <w:rsid w:val="00441924"/>
    <w:rsid w:val="0044241A"/>
    <w:rsid w:val="004430A7"/>
    <w:rsid w:val="00443660"/>
    <w:rsid w:val="004508B8"/>
    <w:rsid w:val="00452517"/>
    <w:rsid w:val="00454093"/>
    <w:rsid w:val="00454CDB"/>
    <w:rsid w:val="00470840"/>
    <w:rsid w:val="00472EA0"/>
    <w:rsid w:val="00476954"/>
    <w:rsid w:val="00480F4D"/>
    <w:rsid w:val="004824FC"/>
    <w:rsid w:val="00484CFA"/>
    <w:rsid w:val="00487CE8"/>
    <w:rsid w:val="00491358"/>
    <w:rsid w:val="0049148C"/>
    <w:rsid w:val="0049239B"/>
    <w:rsid w:val="00493C0C"/>
    <w:rsid w:val="004975DC"/>
    <w:rsid w:val="004A0CFB"/>
    <w:rsid w:val="004A5D87"/>
    <w:rsid w:val="004A6008"/>
    <w:rsid w:val="004B2CCC"/>
    <w:rsid w:val="004B3939"/>
    <w:rsid w:val="004B5E33"/>
    <w:rsid w:val="004B7F0C"/>
    <w:rsid w:val="004C0156"/>
    <w:rsid w:val="004C116A"/>
    <w:rsid w:val="004C4179"/>
    <w:rsid w:val="004D0756"/>
    <w:rsid w:val="004D5237"/>
    <w:rsid w:val="004D67A3"/>
    <w:rsid w:val="004D6B58"/>
    <w:rsid w:val="004D7210"/>
    <w:rsid w:val="004D779D"/>
    <w:rsid w:val="004D7C0D"/>
    <w:rsid w:val="004E1457"/>
    <w:rsid w:val="004E157A"/>
    <w:rsid w:val="004F4D99"/>
    <w:rsid w:val="005017CE"/>
    <w:rsid w:val="00504D45"/>
    <w:rsid w:val="00505A96"/>
    <w:rsid w:val="005064F0"/>
    <w:rsid w:val="0050656D"/>
    <w:rsid w:val="005117B7"/>
    <w:rsid w:val="00512413"/>
    <w:rsid w:val="0052054B"/>
    <w:rsid w:val="00522418"/>
    <w:rsid w:val="00523637"/>
    <w:rsid w:val="00523954"/>
    <w:rsid w:val="0052585B"/>
    <w:rsid w:val="00530DC7"/>
    <w:rsid w:val="0053331A"/>
    <w:rsid w:val="00536CE8"/>
    <w:rsid w:val="005372C5"/>
    <w:rsid w:val="00540CC9"/>
    <w:rsid w:val="00542091"/>
    <w:rsid w:val="00546259"/>
    <w:rsid w:val="0055128F"/>
    <w:rsid w:val="00552A4A"/>
    <w:rsid w:val="0055410F"/>
    <w:rsid w:val="00557890"/>
    <w:rsid w:val="00557E52"/>
    <w:rsid w:val="00562555"/>
    <w:rsid w:val="00570D8E"/>
    <w:rsid w:val="005765D5"/>
    <w:rsid w:val="00577B7C"/>
    <w:rsid w:val="00581943"/>
    <w:rsid w:val="005833AA"/>
    <w:rsid w:val="00587409"/>
    <w:rsid w:val="00587DB2"/>
    <w:rsid w:val="0059007E"/>
    <w:rsid w:val="005901FD"/>
    <w:rsid w:val="00590ABF"/>
    <w:rsid w:val="00593D84"/>
    <w:rsid w:val="005958B1"/>
    <w:rsid w:val="005A2C4D"/>
    <w:rsid w:val="005A3CC7"/>
    <w:rsid w:val="005A74CE"/>
    <w:rsid w:val="005B1919"/>
    <w:rsid w:val="005B5BD8"/>
    <w:rsid w:val="005B5D00"/>
    <w:rsid w:val="005C38CC"/>
    <w:rsid w:val="005C4699"/>
    <w:rsid w:val="005C501E"/>
    <w:rsid w:val="005C619C"/>
    <w:rsid w:val="005C6D5D"/>
    <w:rsid w:val="005D1C07"/>
    <w:rsid w:val="005D2813"/>
    <w:rsid w:val="005D2DBA"/>
    <w:rsid w:val="005E077F"/>
    <w:rsid w:val="005E1598"/>
    <w:rsid w:val="005E65D4"/>
    <w:rsid w:val="005F08E7"/>
    <w:rsid w:val="005F36C9"/>
    <w:rsid w:val="005F6670"/>
    <w:rsid w:val="005F79DD"/>
    <w:rsid w:val="00600496"/>
    <w:rsid w:val="0060176C"/>
    <w:rsid w:val="00610FF8"/>
    <w:rsid w:val="006137B4"/>
    <w:rsid w:val="006221D6"/>
    <w:rsid w:val="006231A0"/>
    <w:rsid w:val="00623522"/>
    <w:rsid w:val="006237AB"/>
    <w:rsid w:val="00623A8A"/>
    <w:rsid w:val="0062624D"/>
    <w:rsid w:val="00626F3B"/>
    <w:rsid w:val="00630D75"/>
    <w:rsid w:val="006328EC"/>
    <w:rsid w:val="00633F86"/>
    <w:rsid w:val="00635D4C"/>
    <w:rsid w:val="00636DF7"/>
    <w:rsid w:val="00637E0D"/>
    <w:rsid w:val="006400DD"/>
    <w:rsid w:val="00640A31"/>
    <w:rsid w:val="0065067F"/>
    <w:rsid w:val="00652E7C"/>
    <w:rsid w:val="00655C9D"/>
    <w:rsid w:val="00656CE0"/>
    <w:rsid w:val="0066050D"/>
    <w:rsid w:val="00660713"/>
    <w:rsid w:val="00664510"/>
    <w:rsid w:val="00665FBE"/>
    <w:rsid w:val="00670401"/>
    <w:rsid w:val="006744E2"/>
    <w:rsid w:val="00676326"/>
    <w:rsid w:val="006768BC"/>
    <w:rsid w:val="006801BF"/>
    <w:rsid w:val="006829BA"/>
    <w:rsid w:val="00685A91"/>
    <w:rsid w:val="00691DC5"/>
    <w:rsid w:val="00693445"/>
    <w:rsid w:val="006A095A"/>
    <w:rsid w:val="006A3C22"/>
    <w:rsid w:val="006A4194"/>
    <w:rsid w:val="006A4AD1"/>
    <w:rsid w:val="006A50C6"/>
    <w:rsid w:val="006A59B2"/>
    <w:rsid w:val="006B1CC0"/>
    <w:rsid w:val="006B2110"/>
    <w:rsid w:val="006B3561"/>
    <w:rsid w:val="006B6326"/>
    <w:rsid w:val="006C510B"/>
    <w:rsid w:val="006C533A"/>
    <w:rsid w:val="006D3FC1"/>
    <w:rsid w:val="006D44CE"/>
    <w:rsid w:val="006D495F"/>
    <w:rsid w:val="006D5D10"/>
    <w:rsid w:val="006E05B1"/>
    <w:rsid w:val="006E3390"/>
    <w:rsid w:val="006E5896"/>
    <w:rsid w:val="006E6040"/>
    <w:rsid w:val="006E6ACA"/>
    <w:rsid w:val="006F022E"/>
    <w:rsid w:val="006F1B88"/>
    <w:rsid w:val="006F4309"/>
    <w:rsid w:val="0070098E"/>
    <w:rsid w:val="0071013F"/>
    <w:rsid w:val="007145D3"/>
    <w:rsid w:val="0072149A"/>
    <w:rsid w:val="00721A9B"/>
    <w:rsid w:val="007230F0"/>
    <w:rsid w:val="00723E6C"/>
    <w:rsid w:val="007261DA"/>
    <w:rsid w:val="00730884"/>
    <w:rsid w:val="00732C48"/>
    <w:rsid w:val="007345F4"/>
    <w:rsid w:val="00735044"/>
    <w:rsid w:val="00736C09"/>
    <w:rsid w:val="0073739D"/>
    <w:rsid w:val="00737449"/>
    <w:rsid w:val="007408E3"/>
    <w:rsid w:val="007415CA"/>
    <w:rsid w:val="007467EA"/>
    <w:rsid w:val="00747980"/>
    <w:rsid w:val="00752F60"/>
    <w:rsid w:val="00753273"/>
    <w:rsid w:val="00755980"/>
    <w:rsid w:val="007560AD"/>
    <w:rsid w:val="0075640D"/>
    <w:rsid w:val="007627BA"/>
    <w:rsid w:val="00764AFD"/>
    <w:rsid w:val="00764D99"/>
    <w:rsid w:val="00765FFE"/>
    <w:rsid w:val="00776C16"/>
    <w:rsid w:val="00780F05"/>
    <w:rsid w:val="00781C05"/>
    <w:rsid w:val="00782F3D"/>
    <w:rsid w:val="00782F7C"/>
    <w:rsid w:val="00785923"/>
    <w:rsid w:val="00785A9B"/>
    <w:rsid w:val="00786212"/>
    <w:rsid w:val="00791019"/>
    <w:rsid w:val="00795316"/>
    <w:rsid w:val="00796993"/>
    <w:rsid w:val="00797BC7"/>
    <w:rsid w:val="007A16C0"/>
    <w:rsid w:val="007A3BC5"/>
    <w:rsid w:val="007A5E95"/>
    <w:rsid w:val="007A7697"/>
    <w:rsid w:val="007A7E58"/>
    <w:rsid w:val="007B1B5E"/>
    <w:rsid w:val="007B1B91"/>
    <w:rsid w:val="007B33D6"/>
    <w:rsid w:val="007C1BBB"/>
    <w:rsid w:val="007C2209"/>
    <w:rsid w:val="007C3092"/>
    <w:rsid w:val="007C60E1"/>
    <w:rsid w:val="007C6975"/>
    <w:rsid w:val="007D099E"/>
    <w:rsid w:val="007D1397"/>
    <w:rsid w:val="007D4E04"/>
    <w:rsid w:val="007E7067"/>
    <w:rsid w:val="007F65E7"/>
    <w:rsid w:val="00806F26"/>
    <w:rsid w:val="008100C9"/>
    <w:rsid w:val="008102D8"/>
    <w:rsid w:val="00810316"/>
    <w:rsid w:val="008153E3"/>
    <w:rsid w:val="00815C36"/>
    <w:rsid w:val="00815D66"/>
    <w:rsid w:val="00821B92"/>
    <w:rsid w:val="008250D2"/>
    <w:rsid w:val="00825ADD"/>
    <w:rsid w:val="00830791"/>
    <w:rsid w:val="00834134"/>
    <w:rsid w:val="00834171"/>
    <w:rsid w:val="008350CE"/>
    <w:rsid w:val="0083523F"/>
    <w:rsid w:val="00837D8D"/>
    <w:rsid w:val="00844458"/>
    <w:rsid w:val="00847B0C"/>
    <w:rsid w:val="00852055"/>
    <w:rsid w:val="00862363"/>
    <w:rsid w:val="00863727"/>
    <w:rsid w:val="00863E97"/>
    <w:rsid w:val="00863FA7"/>
    <w:rsid w:val="00865EE7"/>
    <w:rsid w:val="00867266"/>
    <w:rsid w:val="00872B43"/>
    <w:rsid w:val="00873EB6"/>
    <w:rsid w:val="008762FC"/>
    <w:rsid w:val="008770F1"/>
    <w:rsid w:val="0088038C"/>
    <w:rsid w:val="00880DFD"/>
    <w:rsid w:val="00886C85"/>
    <w:rsid w:val="008908D1"/>
    <w:rsid w:val="00891282"/>
    <w:rsid w:val="00892D4F"/>
    <w:rsid w:val="008A1966"/>
    <w:rsid w:val="008A4CEA"/>
    <w:rsid w:val="008A4DD7"/>
    <w:rsid w:val="008A6618"/>
    <w:rsid w:val="008B16B4"/>
    <w:rsid w:val="008B493F"/>
    <w:rsid w:val="008B5F56"/>
    <w:rsid w:val="008B5FA0"/>
    <w:rsid w:val="008B6338"/>
    <w:rsid w:val="008B7550"/>
    <w:rsid w:val="008D1A58"/>
    <w:rsid w:val="008D4956"/>
    <w:rsid w:val="008D6E0D"/>
    <w:rsid w:val="008E3B77"/>
    <w:rsid w:val="008F2614"/>
    <w:rsid w:val="008F425F"/>
    <w:rsid w:val="008F48D6"/>
    <w:rsid w:val="008F4E1B"/>
    <w:rsid w:val="008F6722"/>
    <w:rsid w:val="008F6C0E"/>
    <w:rsid w:val="0090078D"/>
    <w:rsid w:val="009016E7"/>
    <w:rsid w:val="009043BA"/>
    <w:rsid w:val="009106B4"/>
    <w:rsid w:val="009157DD"/>
    <w:rsid w:val="009227B7"/>
    <w:rsid w:val="00925A37"/>
    <w:rsid w:val="00926AA7"/>
    <w:rsid w:val="00926B27"/>
    <w:rsid w:val="00927BF8"/>
    <w:rsid w:val="009366C2"/>
    <w:rsid w:val="00937A92"/>
    <w:rsid w:val="00944BD6"/>
    <w:rsid w:val="00946C5F"/>
    <w:rsid w:val="00947852"/>
    <w:rsid w:val="00947A3F"/>
    <w:rsid w:val="00947CB1"/>
    <w:rsid w:val="0095054D"/>
    <w:rsid w:val="00951FDA"/>
    <w:rsid w:val="00952C54"/>
    <w:rsid w:val="00953A1E"/>
    <w:rsid w:val="00960451"/>
    <w:rsid w:val="00961A98"/>
    <w:rsid w:val="009629AF"/>
    <w:rsid w:val="0096754C"/>
    <w:rsid w:val="0097095C"/>
    <w:rsid w:val="00970D9E"/>
    <w:rsid w:val="00971583"/>
    <w:rsid w:val="00972691"/>
    <w:rsid w:val="009764FC"/>
    <w:rsid w:val="0097697F"/>
    <w:rsid w:val="00977015"/>
    <w:rsid w:val="00980103"/>
    <w:rsid w:val="00981B4E"/>
    <w:rsid w:val="009846D0"/>
    <w:rsid w:val="009849A6"/>
    <w:rsid w:val="0098502A"/>
    <w:rsid w:val="00985C74"/>
    <w:rsid w:val="00986F1C"/>
    <w:rsid w:val="0099378C"/>
    <w:rsid w:val="00995F06"/>
    <w:rsid w:val="009973CA"/>
    <w:rsid w:val="009A36AC"/>
    <w:rsid w:val="009A6517"/>
    <w:rsid w:val="009B281D"/>
    <w:rsid w:val="009C640F"/>
    <w:rsid w:val="009C69CE"/>
    <w:rsid w:val="009C6B73"/>
    <w:rsid w:val="009D103F"/>
    <w:rsid w:val="009D5927"/>
    <w:rsid w:val="009D63FE"/>
    <w:rsid w:val="009D70D4"/>
    <w:rsid w:val="009E1283"/>
    <w:rsid w:val="009E1B30"/>
    <w:rsid w:val="009E1BB9"/>
    <w:rsid w:val="009E36B7"/>
    <w:rsid w:val="009E7E1F"/>
    <w:rsid w:val="009F0D9B"/>
    <w:rsid w:val="009F0DC8"/>
    <w:rsid w:val="009F2040"/>
    <w:rsid w:val="009F2F97"/>
    <w:rsid w:val="009F31EE"/>
    <w:rsid w:val="009F3C32"/>
    <w:rsid w:val="009F3F23"/>
    <w:rsid w:val="009F76CC"/>
    <w:rsid w:val="00A0262E"/>
    <w:rsid w:val="00A04CAE"/>
    <w:rsid w:val="00A118B4"/>
    <w:rsid w:val="00A11AEC"/>
    <w:rsid w:val="00A161F2"/>
    <w:rsid w:val="00A2211D"/>
    <w:rsid w:val="00A267D5"/>
    <w:rsid w:val="00A34A10"/>
    <w:rsid w:val="00A4071D"/>
    <w:rsid w:val="00A40884"/>
    <w:rsid w:val="00A451A8"/>
    <w:rsid w:val="00A50236"/>
    <w:rsid w:val="00A50A50"/>
    <w:rsid w:val="00A51F02"/>
    <w:rsid w:val="00A53618"/>
    <w:rsid w:val="00A54436"/>
    <w:rsid w:val="00A56FFB"/>
    <w:rsid w:val="00A656A9"/>
    <w:rsid w:val="00A70C04"/>
    <w:rsid w:val="00A71947"/>
    <w:rsid w:val="00A72DE9"/>
    <w:rsid w:val="00A73451"/>
    <w:rsid w:val="00A73B02"/>
    <w:rsid w:val="00A75A97"/>
    <w:rsid w:val="00A763BA"/>
    <w:rsid w:val="00A763D0"/>
    <w:rsid w:val="00A80018"/>
    <w:rsid w:val="00A8196C"/>
    <w:rsid w:val="00A829F7"/>
    <w:rsid w:val="00A85B91"/>
    <w:rsid w:val="00A90746"/>
    <w:rsid w:val="00A90D9A"/>
    <w:rsid w:val="00A9526A"/>
    <w:rsid w:val="00A957D0"/>
    <w:rsid w:val="00A97300"/>
    <w:rsid w:val="00AA0E35"/>
    <w:rsid w:val="00AA1F1F"/>
    <w:rsid w:val="00AA2318"/>
    <w:rsid w:val="00AB3AA4"/>
    <w:rsid w:val="00AB69BE"/>
    <w:rsid w:val="00AC1B68"/>
    <w:rsid w:val="00AC2408"/>
    <w:rsid w:val="00AC27A6"/>
    <w:rsid w:val="00AC27D9"/>
    <w:rsid w:val="00AC61EF"/>
    <w:rsid w:val="00AC6DEA"/>
    <w:rsid w:val="00AD04C0"/>
    <w:rsid w:val="00AD0BF6"/>
    <w:rsid w:val="00AD41DD"/>
    <w:rsid w:val="00AD538D"/>
    <w:rsid w:val="00AD6153"/>
    <w:rsid w:val="00AE12AA"/>
    <w:rsid w:val="00AE1BE1"/>
    <w:rsid w:val="00AE4956"/>
    <w:rsid w:val="00AE4C70"/>
    <w:rsid w:val="00AE5505"/>
    <w:rsid w:val="00AE6F7B"/>
    <w:rsid w:val="00AF09FF"/>
    <w:rsid w:val="00AF17E1"/>
    <w:rsid w:val="00AF1DF8"/>
    <w:rsid w:val="00AF601E"/>
    <w:rsid w:val="00B01CB8"/>
    <w:rsid w:val="00B07414"/>
    <w:rsid w:val="00B07F60"/>
    <w:rsid w:val="00B12D90"/>
    <w:rsid w:val="00B158EF"/>
    <w:rsid w:val="00B17F9F"/>
    <w:rsid w:val="00B17FEB"/>
    <w:rsid w:val="00B2029A"/>
    <w:rsid w:val="00B23BCC"/>
    <w:rsid w:val="00B270B4"/>
    <w:rsid w:val="00B30665"/>
    <w:rsid w:val="00B308A0"/>
    <w:rsid w:val="00B30C4E"/>
    <w:rsid w:val="00B31263"/>
    <w:rsid w:val="00B31FF5"/>
    <w:rsid w:val="00B32E97"/>
    <w:rsid w:val="00B35EB3"/>
    <w:rsid w:val="00B41335"/>
    <w:rsid w:val="00B4497F"/>
    <w:rsid w:val="00B44C95"/>
    <w:rsid w:val="00B45EBF"/>
    <w:rsid w:val="00B46A28"/>
    <w:rsid w:val="00B46C8A"/>
    <w:rsid w:val="00B5564F"/>
    <w:rsid w:val="00B56C8B"/>
    <w:rsid w:val="00B5726C"/>
    <w:rsid w:val="00B624A5"/>
    <w:rsid w:val="00B65BD8"/>
    <w:rsid w:val="00B82746"/>
    <w:rsid w:val="00B8327F"/>
    <w:rsid w:val="00B84D4F"/>
    <w:rsid w:val="00B855CC"/>
    <w:rsid w:val="00B86BD1"/>
    <w:rsid w:val="00B86F14"/>
    <w:rsid w:val="00B95502"/>
    <w:rsid w:val="00B97F7F"/>
    <w:rsid w:val="00BA1A9D"/>
    <w:rsid w:val="00BA7388"/>
    <w:rsid w:val="00BB05A6"/>
    <w:rsid w:val="00BB1EEA"/>
    <w:rsid w:val="00BB4777"/>
    <w:rsid w:val="00BC029B"/>
    <w:rsid w:val="00BC1EC4"/>
    <w:rsid w:val="00BC71AF"/>
    <w:rsid w:val="00BD1C06"/>
    <w:rsid w:val="00BD5F36"/>
    <w:rsid w:val="00BD6A39"/>
    <w:rsid w:val="00BE2F6C"/>
    <w:rsid w:val="00BE5C0A"/>
    <w:rsid w:val="00BF3685"/>
    <w:rsid w:val="00C004DE"/>
    <w:rsid w:val="00C01ECF"/>
    <w:rsid w:val="00C0548F"/>
    <w:rsid w:val="00C122AB"/>
    <w:rsid w:val="00C13AEC"/>
    <w:rsid w:val="00C146F3"/>
    <w:rsid w:val="00C16050"/>
    <w:rsid w:val="00C203F5"/>
    <w:rsid w:val="00C27A5C"/>
    <w:rsid w:val="00C3242A"/>
    <w:rsid w:val="00C37893"/>
    <w:rsid w:val="00C37B8A"/>
    <w:rsid w:val="00C37EB7"/>
    <w:rsid w:val="00C46DC3"/>
    <w:rsid w:val="00C50B32"/>
    <w:rsid w:val="00C52F1D"/>
    <w:rsid w:val="00C57971"/>
    <w:rsid w:val="00C57BE5"/>
    <w:rsid w:val="00C62CA3"/>
    <w:rsid w:val="00C635C3"/>
    <w:rsid w:val="00C6704C"/>
    <w:rsid w:val="00C67B49"/>
    <w:rsid w:val="00C710B3"/>
    <w:rsid w:val="00C739EA"/>
    <w:rsid w:val="00C73D38"/>
    <w:rsid w:val="00C770E7"/>
    <w:rsid w:val="00C804D5"/>
    <w:rsid w:val="00C84913"/>
    <w:rsid w:val="00C84D5D"/>
    <w:rsid w:val="00C90A7C"/>
    <w:rsid w:val="00C913DE"/>
    <w:rsid w:val="00C92E60"/>
    <w:rsid w:val="00C9661E"/>
    <w:rsid w:val="00C97643"/>
    <w:rsid w:val="00CA2EB0"/>
    <w:rsid w:val="00CA4F0F"/>
    <w:rsid w:val="00CA5B70"/>
    <w:rsid w:val="00CA7CFF"/>
    <w:rsid w:val="00CB23F0"/>
    <w:rsid w:val="00CB260E"/>
    <w:rsid w:val="00CB43E4"/>
    <w:rsid w:val="00CB7B0D"/>
    <w:rsid w:val="00CC09BD"/>
    <w:rsid w:val="00CC365C"/>
    <w:rsid w:val="00CC545C"/>
    <w:rsid w:val="00CC5643"/>
    <w:rsid w:val="00CD37D5"/>
    <w:rsid w:val="00CD3B74"/>
    <w:rsid w:val="00CD3EBC"/>
    <w:rsid w:val="00CD790B"/>
    <w:rsid w:val="00CE08D2"/>
    <w:rsid w:val="00CE360F"/>
    <w:rsid w:val="00CE400B"/>
    <w:rsid w:val="00CE738E"/>
    <w:rsid w:val="00CF0FF8"/>
    <w:rsid w:val="00CF43E9"/>
    <w:rsid w:val="00D02260"/>
    <w:rsid w:val="00D12C02"/>
    <w:rsid w:val="00D13E00"/>
    <w:rsid w:val="00D20D64"/>
    <w:rsid w:val="00D2102A"/>
    <w:rsid w:val="00D22D8C"/>
    <w:rsid w:val="00D235AF"/>
    <w:rsid w:val="00D23874"/>
    <w:rsid w:val="00D24AC9"/>
    <w:rsid w:val="00D25500"/>
    <w:rsid w:val="00D25749"/>
    <w:rsid w:val="00D40D21"/>
    <w:rsid w:val="00D41229"/>
    <w:rsid w:val="00D43A15"/>
    <w:rsid w:val="00D45E0A"/>
    <w:rsid w:val="00D504BE"/>
    <w:rsid w:val="00D50597"/>
    <w:rsid w:val="00D53A87"/>
    <w:rsid w:val="00D562C7"/>
    <w:rsid w:val="00D614A7"/>
    <w:rsid w:val="00D63996"/>
    <w:rsid w:val="00D6434E"/>
    <w:rsid w:val="00D64952"/>
    <w:rsid w:val="00D65B48"/>
    <w:rsid w:val="00D71929"/>
    <w:rsid w:val="00D73D7C"/>
    <w:rsid w:val="00D7518D"/>
    <w:rsid w:val="00D76B3D"/>
    <w:rsid w:val="00D777F6"/>
    <w:rsid w:val="00D81542"/>
    <w:rsid w:val="00D83800"/>
    <w:rsid w:val="00D931BB"/>
    <w:rsid w:val="00D94B8F"/>
    <w:rsid w:val="00D94D03"/>
    <w:rsid w:val="00DA0DBA"/>
    <w:rsid w:val="00DA3DD6"/>
    <w:rsid w:val="00DA40E2"/>
    <w:rsid w:val="00DA5D02"/>
    <w:rsid w:val="00DB0BD3"/>
    <w:rsid w:val="00DB197A"/>
    <w:rsid w:val="00DB6C4F"/>
    <w:rsid w:val="00DC0DDA"/>
    <w:rsid w:val="00DC3EC3"/>
    <w:rsid w:val="00DC6771"/>
    <w:rsid w:val="00DC67F3"/>
    <w:rsid w:val="00DC6893"/>
    <w:rsid w:val="00DC7DB2"/>
    <w:rsid w:val="00DD056C"/>
    <w:rsid w:val="00DD2E6B"/>
    <w:rsid w:val="00DD3D50"/>
    <w:rsid w:val="00DD7A1A"/>
    <w:rsid w:val="00DD7EA2"/>
    <w:rsid w:val="00DE4F5F"/>
    <w:rsid w:val="00DE66E5"/>
    <w:rsid w:val="00DE6EDB"/>
    <w:rsid w:val="00DF02CE"/>
    <w:rsid w:val="00DF28ED"/>
    <w:rsid w:val="00E00246"/>
    <w:rsid w:val="00E00F4B"/>
    <w:rsid w:val="00E12D63"/>
    <w:rsid w:val="00E14B9F"/>
    <w:rsid w:val="00E17E9C"/>
    <w:rsid w:val="00E20807"/>
    <w:rsid w:val="00E21566"/>
    <w:rsid w:val="00E25E46"/>
    <w:rsid w:val="00E30027"/>
    <w:rsid w:val="00E313DA"/>
    <w:rsid w:val="00E332F6"/>
    <w:rsid w:val="00E377E1"/>
    <w:rsid w:val="00E40698"/>
    <w:rsid w:val="00E42D06"/>
    <w:rsid w:val="00E5308E"/>
    <w:rsid w:val="00E53D3A"/>
    <w:rsid w:val="00E54495"/>
    <w:rsid w:val="00E61825"/>
    <w:rsid w:val="00E67281"/>
    <w:rsid w:val="00E70639"/>
    <w:rsid w:val="00E70D9C"/>
    <w:rsid w:val="00E74DCE"/>
    <w:rsid w:val="00E8119B"/>
    <w:rsid w:val="00E8178F"/>
    <w:rsid w:val="00E876C6"/>
    <w:rsid w:val="00E87BAF"/>
    <w:rsid w:val="00E97070"/>
    <w:rsid w:val="00E9781D"/>
    <w:rsid w:val="00EA03B4"/>
    <w:rsid w:val="00EA10BF"/>
    <w:rsid w:val="00EA3257"/>
    <w:rsid w:val="00EA3B28"/>
    <w:rsid w:val="00EA54C5"/>
    <w:rsid w:val="00EB26F9"/>
    <w:rsid w:val="00EB3209"/>
    <w:rsid w:val="00EB6377"/>
    <w:rsid w:val="00EB71B9"/>
    <w:rsid w:val="00EC02A5"/>
    <w:rsid w:val="00EC19BF"/>
    <w:rsid w:val="00EC4DCA"/>
    <w:rsid w:val="00EC5A5E"/>
    <w:rsid w:val="00EC6B6A"/>
    <w:rsid w:val="00EC6C8F"/>
    <w:rsid w:val="00ED2FE2"/>
    <w:rsid w:val="00ED3BF4"/>
    <w:rsid w:val="00ED416E"/>
    <w:rsid w:val="00ED47B8"/>
    <w:rsid w:val="00ED4964"/>
    <w:rsid w:val="00ED51DE"/>
    <w:rsid w:val="00EF1E05"/>
    <w:rsid w:val="00EF51F9"/>
    <w:rsid w:val="00EF753B"/>
    <w:rsid w:val="00F02090"/>
    <w:rsid w:val="00F022D5"/>
    <w:rsid w:val="00F03E7F"/>
    <w:rsid w:val="00F05782"/>
    <w:rsid w:val="00F103AF"/>
    <w:rsid w:val="00F123FC"/>
    <w:rsid w:val="00F131BE"/>
    <w:rsid w:val="00F23EA9"/>
    <w:rsid w:val="00F26619"/>
    <w:rsid w:val="00F26A4D"/>
    <w:rsid w:val="00F31AAF"/>
    <w:rsid w:val="00F338C9"/>
    <w:rsid w:val="00F344AB"/>
    <w:rsid w:val="00F4448B"/>
    <w:rsid w:val="00F44983"/>
    <w:rsid w:val="00F46336"/>
    <w:rsid w:val="00F469B5"/>
    <w:rsid w:val="00F46C42"/>
    <w:rsid w:val="00F50716"/>
    <w:rsid w:val="00F50A61"/>
    <w:rsid w:val="00F52FD1"/>
    <w:rsid w:val="00F577EC"/>
    <w:rsid w:val="00F64591"/>
    <w:rsid w:val="00F6579C"/>
    <w:rsid w:val="00F67C72"/>
    <w:rsid w:val="00F75448"/>
    <w:rsid w:val="00F76DDD"/>
    <w:rsid w:val="00F85467"/>
    <w:rsid w:val="00F9429A"/>
    <w:rsid w:val="00F95B6B"/>
    <w:rsid w:val="00F95DF9"/>
    <w:rsid w:val="00F95EAC"/>
    <w:rsid w:val="00F96045"/>
    <w:rsid w:val="00F966FF"/>
    <w:rsid w:val="00F96986"/>
    <w:rsid w:val="00FA0CF1"/>
    <w:rsid w:val="00FA1F46"/>
    <w:rsid w:val="00FB0BDE"/>
    <w:rsid w:val="00FB29EC"/>
    <w:rsid w:val="00FB3BB5"/>
    <w:rsid w:val="00FB79E8"/>
    <w:rsid w:val="00FC0493"/>
    <w:rsid w:val="00FC209E"/>
    <w:rsid w:val="00FC4712"/>
    <w:rsid w:val="00FC4962"/>
    <w:rsid w:val="00FC6FAB"/>
    <w:rsid w:val="00FC7F98"/>
    <w:rsid w:val="00FD4169"/>
    <w:rsid w:val="00FD57F7"/>
    <w:rsid w:val="00FE15D1"/>
    <w:rsid w:val="00FE40D1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hd w:val="pct5" w:color="000000" w:fill="FFFFFF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hd w:val="pct5" w:color="000000" w:fill="FFFFFF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hd w:val="pct5" w:color="000000" w:fill="FFFFFF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CG Times" w:hAnsi="CG Times" w:cs="CG Times"/>
      <w:noProof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0D9A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C52F1D"/>
    <w:pPr>
      <w:spacing w:after="60"/>
      <w:jc w:val="center"/>
    </w:pPr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4D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hd w:val="pct5" w:color="000000" w:fill="FFFFFF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hd w:val="pct5" w:color="000000" w:fill="FFFFFF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hd w:val="pct5" w:color="000000" w:fill="FFFFFF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CG Times" w:hAnsi="CG Times" w:cs="CG Times"/>
      <w:noProof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90D9A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C52F1D"/>
    <w:pPr>
      <w:spacing w:after="60"/>
      <w:jc w:val="center"/>
    </w:pPr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4D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9785-9992-4FB4-A98F-ACADBFE7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10</Pages>
  <Words>4532</Words>
  <Characters>26740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Důvodová zpráva</vt:lpstr>
      <vt:lpstr>Hlavní činnost</vt:lpstr>
    </vt:vector>
  </TitlesOfParts>
  <Company>Městský úřad</Company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Your User Name</dc:creator>
  <cp:lastModifiedBy>Neckař Milan</cp:lastModifiedBy>
  <cp:revision>93</cp:revision>
  <cp:lastPrinted>2016-08-12T09:12:00Z</cp:lastPrinted>
  <dcterms:created xsi:type="dcterms:W3CDTF">2015-07-30T08:23:00Z</dcterms:created>
  <dcterms:modified xsi:type="dcterms:W3CDTF">2016-08-16T13:27:00Z</dcterms:modified>
</cp:coreProperties>
</file>