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687976" w:rsidRPr="00687976">
        <w:trPr>
          <w:trHeight w:hRule="exact" w:val="345"/>
        </w:trPr>
        <w:tc>
          <w:tcPr>
            <w:tcW w:w="5120" w:type="dxa"/>
            <w:gridSpan w:val="2"/>
            <w:vAlign w:val="bottom"/>
          </w:tcPr>
          <w:p w:rsidR="000E56B2" w:rsidRPr="00687976" w:rsidRDefault="000E56B2" w:rsidP="00001BF5">
            <w:pPr>
              <w:pStyle w:val="Zkladntext"/>
              <w:ind w:hanging="53"/>
              <w:rPr>
                <w:b/>
                <w:sz w:val="28"/>
              </w:rPr>
            </w:pPr>
            <w:r w:rsidRPr="00687976">
              <w:rPr>
                <w:b/>
                <w:sz w:val="28"/>
              </w:rPr>
              <w:t>MATERIÁL</w:t>
            </w:r>
          </w:p>
        </w:tc>
        <w:tc>
          <w:tcPr>
            <w:tcW w:w="3119" w:type="dxa"/>
            <w:vAlign w:val="bottom"/>
          </w:tcPr>
          <w:p w:rsidR="000E56B2" w:rsidRPr="00687976" w:rsidRDefault="000E56B2">
            <w:pPr>
              <w:pStyle w:val="Zkladntext"/>
              <w:jc w:val="right"/>
            </w:pPr>
            <w:r w:rsidRPr="00687976">
              <w:t xml:space="preserve">číslo: </w:t>
            </w:r>
          </w:p>
        </w:tc>
        <w:tc>
          <w:tcPr>
            <w:tcW w:w="850" w:type="dxa"/>
            <w:vAlign w:val="bottom"/>
          </w:tcPr>
          <w:p w:rsidR="000E56B2" w:rsidRPr="00687976" w:rsidRDefault="000E56B2">
            <w:pPr>
              <w:pStyle w:val="Zkladntext"/>
              <w:jc w:val="right"/>
            </w:pPr>
          </w:p>
        </w:tc>
      </w:tr>
      <w:tr w:rsidR="00687976" w:rsidRPr="00687976">
        <w:trPr>
          <w:trHeight w:hRule="exact" w:val="345"/>
        </w:trPr>
        <w:tc>
          <w:tcPr>
            <w:tcW w:w="9089" w:type="dxa"/>
            <w:gridSpan w:val="4"/>
            <w:vAlign w:val="bottom"/>
          </w:tcPr>
          <w:p w:rsidR="000E56B2" w:rsidRPr="00687976" w:rsidRDefault="000E56B2" w:rsidP="00001BF5">
            <w:pPr>
              <w:pStyle w:val="Zkladntext"/>
              <w:ind w:hanging="53"/>
              <w:rPr>
                <w:sz w:val="28"/>
              </w:rPr>
            </w:pPr>
            <w:r w:rsidRPr="00687976">
              <w:rPr>
                <w:b/>
                <w:sz w:val="28"/>
              </w:rPr>
              <w:t xml:space="preserve">pro zasedání </w:t>
            </w:r>
          </w:p>
        </w:tc>
      </w:tr>
      <w:tr w:rsidR="00687976" w:rsidRPr="00687976">
        <w:trPr>
          <w:trHeight w:hRule="exact" w:val="345"/>
        </w:trPr>
        <w:tc>
          <w:tcPr>
            <w:tcW w:w="9089" w:type="dxa"/>
            <w:gridSpan w:val="4"/>
            <w:vAlign w:val="bottom"/>
          </w:tcPr>
          <w:p w:rsidR="000E56B2" w:rsidRPr="00687976" w:rsidRDefault="000E56B2" w:rsidP="003D5E5B">
            <w:pPr>
              <w:pStyle w:val="Zkladntext"/>
              <w:ind w:hanging="53"/>
              <w:rPr>
                <w:b/>
                <w:sz w:val="28"/>
              </w:rPr>
            </w:pPr>
            <w:r w:rsidRPr="00687976">
              <w:rPr>
                <w:b/>
                <w:sz w:val="28"/>
              </w:rPr>
              <w:t xml:space="preserve">Zastupitelstva města Prostějova konané dne </w:t>
            </w:r>
            <w:proofErr w:type="gramStart"/>
            <w:r w:rsidR="003D5E5B" w:rsidRPr="00687976">
              <w:rPr>
                <w:b/>
                <w:sz w:val="28"/>
              </w:rPr>
              <w:t>12</w:t>
            </w:r>
            <w:r w:rsidR="00325DE1" w:rsidRPr="00687976">
              <w:rPr>
                <w:b/>
                <w:sz w:val="28"/>
              </w:rPr>
              <w:t>.</w:t>
            </w:r>
            <w:r w:rsidR="006A550C" w:rsidRPr="00687976">
              <w:rPr>
                <w:b/>
                <w:sz w:val="28"/>
              </w:rPr>
              <w:t>0</w:t>
            </w:r>
            <w:r w:rsidR="003D5E5B" w:rsidRPr="00687976">
              <w:rPr>
                <w:b/>
                <w:sz w:val="28"/>
              </w:rPr>
              <w:t>6</w:t>
            </w:r>
            <w:r w:rsidRPr="00687976">
              <w:rPr>
                <w:b/>
                <w:sz w:val="28"/>
              </w:rPr>
              <w:t>.201</w:t>
            </w:r>
            <w:r w:rsidR="00C93D34" w:rsidRPr="00687976">
              <w:rPr>
                <w:b/>
                <w:sz w:val="28"/>
              </w:rPr>
              <w:t>7</w:t>
            </w:r>
            <w:proofErr w:type="gramEnd"/>
          </w:p>
        </w:tc>
      </w:tr>
      <w:tr w:rsidR="00687976" w:rsidRPr="00687976">
        <w:trPr>
          <w:trHeight w:hRule="exact" w:val="125"/>
        </w:trPr>
        <w:tc>
          <w:tcPr>
            <w:tcW w:w="9089" w:type="dxa"/>
            <w:gridSpan w:val="4"/>
          </w:tcPr>
          <w:p w:rsidR="000E56B2" w:rsidRPr="00687976" w:rsidRDefault="000E56B2">
            <w:pPr>
              <w:jc w:val="right"/>
            </w:pPr>
          </w:p>
        </w:tc>
      </w:tr>
      <w:tr w:rsidR="00687976" w:rsidRPr="00687976">
        <w:tc>
          <w:tcPr>
            <w:tcW w:w="2285" w:type="dxa"/>
          </w:tcPr>
          <w:p w:rsidR="003B408C" w:rsidRPr="00687976" w:rsidRDefault="003B408C" w:rsidP="00001BF5">
            <w:pPr>
              <w:pStyle w:val="Datum"/>
              <w:ind w:hanging="53"/>
              <w:rPr>
                <w:b/>
                <w:bCs/>
                <w:sz w:val="20"/>
              </w:rPr>
            </w:pPr>
          </w:p>
          <w:p w:rsidR="000E56B2" w:rsidRPr="00687976" w:rsidRDefault="000E56B2" w:rsidP="00001BF5">
            <w:pPr>
              <w:pStyle w:val="Datum"/>
              <w:ind w:hanging="53"/>
              <w:rPr>
                <w:b/>
                <w:bCs/>
                <w:sz w:val="20"/>
              </w:rPr>
            </w:pPr>
            <w:r w:rsidRPr="00687976">
              <w:rPr>
                <w:b/>
                <w:bCs/>
                <w:sz w:val="20"/>
              </w:rPr>
              <w:t>Název materiálu:</w:t>
            </w:r>
          </w:p>
        </w:tc>
        <w:tc>
          <w:tcPr>
            <w:tcW w:w="6804" w:type="dxa"/>
            <w:gridSpan w:val="3"/>
          </w:tcPr>
          <w:p w:rsidR="003B408C" w:rsidRPr="00687976" w:rsidRDefault="003B408C" w:rsidP="00534015">
            <w:pPr>
              <w:jc w:val="both"/>
              <w:rPr>
                <w:b/>
                <w:bCs/>
                <w:sz w:val="20"/>
              </w:rPr>
            </w:pPr>
          </w:p>
          <w:p w:rsidR="000E56B2" w:rsidRPr="00687976" w:rsidRDefault="00FB10B0" w:rsidP="0084744D">
            <w:pPr>
              <w:jc w:val="both"/>
              <w:rPr>
                <w:b/>
                <w:sz w:val="20"/>
              </w:rPr>
            </w:pPr>
            <w:r w:rsidRPr="00687976">
              <w:rPr>
                <w:b/>
                <w:bCs/>
                <w:sz w:val="20"/>
              </w:rPr>
              <w:t xml:space="preserve">Revokace bodu 9 usnesení Zastupitelstva města Prostějova č. 10195 ze dne </w:t>
            </w:r>
            <w:proofErr w:type="gramStart"/>
            <w:r w:rsidRPr="00687976">
              <w:rPr>
                <w:b/>
                <w:bCs/>
                <w:sz w:val="20"/>
              </w:rPr>
              <w:t>20.09.2011</w:t>
            </w:r>
            <w:proofErr w:type="gramEnd"/>
            <w:r w:rsidRPr="00687976">
              <w:rPr>
                <w:b/>
                <w:bCs/>
                <w:sz w:val="20"/>
              </w:rPr>
              <w:t xml:space="preserve"> a schválení prodeje jednotky č. 1622/15 v domě na ul. Netušilova 3 v Prostějově</w:t>
            </w:r>
          </w:p>
        </w:tc>
      </w:tr>
      <w:tr w:rsidR="00687976" w:rsidRPr="00687976">
        <w:tc>
          <w:tcPr>
            <w:tcW w:w="2285" w:type="dxa"/>
          </w:tcPr>
          <w:p w:rsidR="000E56B2" w:rsidRPr="00687976"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687976" w:rsidRDefault="000E56B2">
            <w:pPr>
              <w:jc w:val="both"/>
              <w:rPr>
                <w:sz w:val="10"/>
                <w:szCs w:val="10"/>
              </w:rPr>
            </w:pPr>
          </w:p>
        </w:tc>
      </w:tr>
      <w:tr w:rsidR="00687976" w:rsidRPr="00687976">
        <w:tc>
          <w:tcPr>
            <w:tcW w:w="2285" w:type="dxa"/>
          </w:tcPr>
          <w:p w:rsidR="000E56B2" w:rsidRPr="00687976" w:rsidRDefault="000E56B2">
            <w:pPr>
              <w:rPr>
                <w:b/>
                <w:bCs/>
                <w:sz w:val="4"/>
              </w:rPr>
            </w:pPr>
          </w:p>
          <w:p w:rsidR="000E56B2" w:rsidRPr="00687976" w:rsidRDefault="000E56B2" w:rsidP="00001BF5">
            <w:pPr>
              <w:ind w:hanging="53"/>
              <w:rPr>
                <w:b/>
                <w:bCs/>
                <w:sz w:val="20"/>
              </w:rPr>
            </w:pPr>
            <w:r w:rsidRPr="00687976">
              <w:rPr>
                <w:b/>
                <w:bCs/>
                <w:sz w:val="20"/>
              </w:rPr>
              <w:t>Předkládá:</w:t>
            </w:r>
          </w:p>
        </w:tc>
        <w:tc>
          <w:tcPr>
            <w:tcW w:w="6804" w:type="dxa"/>
            <w:gridSpan w:val="3"/>
          </w:tcPr>
          <w:p w:rsidR="000E56B2" w:rsidRPr="00687976" w:rsidRDefault="000E56B2">
            <w:pPr>
              <w:jc w:val="both"/>
              <w:rPr>
                <w:sz w:val="4"/>
              </w:rPr>
            </w:pPr>
          </w:p>
          <w:p w:rsidR="000E56B2" w:rsidRPr="00687976" w:rsidRDefault="000E56B2">
            <w:pPr>
              <w:pStyle w:val="Zkladntext21"/>
              <w:rPr>
                <w:rFonts w:ascii="Arial" w:hAnsi="Arial"/>
              </w:rPr>
            </w:pPr>
            <w:r w:rsidRPr="00687976">
              <w:rPr>
                <w:rFonts w:ascii="Arial" w:hAnsi="Arial"/>
              </w:rPr>
              <w:t>Rada města Prostějova</w:t>
            </w:r>
          </w:p>
        </w:tc>
      </w:tr>
      <w:tr w:rsidR="00687976" w:rsidRPr="00687976">
        <w:tc>
          <w:tcPr>
            <w:tcW w:w="2285" w:type="dxa"/>
          </w:tcPr>
          <w:p w:rsidR="000E56B2" w:rsidRPr="00687976" w:rsidRDefault="000E56B2">
            <w:pPr>
              <w:rPr>
                <w:b/>
                <w:bCs/>
                <w:sz w:val="19"/>
              </w:rPr>
            </w:pPr>
          </w:p>
        </w:tc>
        <w:tc>
          <w:tcPr>
            <w:tcW w:w="6804" w:type="dxa"/>
            <w:gridSpan w:val="3"/>
          </w:tcPr>
          <w:p w:rsidR="000E56B2" w:rsidRPr="00687976" w:rsidRDefault="000E56B2">
            <w:pPr>
              <w:jc w:val="both"/>
              <w:rPr>
                <w:sz w:val="4"/>
              </w:rPr>
            </w:pPr>
          </w:p>
          <w:p w:rsidR="000E56B2" w:rsidRPr="00687976" w:rsidRDefault="000E56B2" w:rsidP="00065A8D">
            <w:pPr>
              <w:pStyle w:val="Zkladntext21"/>
              <w:rPr>
                <w:rFonts w:ascii="Arial" w:hAnsi="Arial"/>
              </w:rPr>
            </w:pPr>
            <w:r w:rsidRPr="00687976">
              <w:rPr>
                <w:rFonts w:ascii="Arial" w:hAnsi="Arial"/>
              </w:rPr>
              <w:t xml:space="preserve">Mgr. </w:t>
            </w:r>
            <w:r w:rsidR="00924A65" w:rsidRPr="00687976">
              <w:rPr>
                <w:rFonts w:ascii="Arial" w:hAnsi="Arial"/>
              </w:rPr>
              <w:t>Jiří Pospíšil</w:t>
            </w:r>
            <w:r w:rsidR="00A92F79" w:rsidRPr="00687976">
              <w:rPr>
                <w:rFonts w:ascii="Arial" w:hAnsi="Arial"/>
              </w:rPr>
              <w:t>, náměstek primátor</w:t>
            </w:r>
            <w:r w:rsidR="00065A8D" w:rsidRPr="00687976">
              <w:rPr>
                <w:rFonts w:ascii="Arial" w:hAnsi="Arial"/>
              </w:rPr>
              <w:t>ky</w:t>
            </w:r>
            <w:r w:rsidR="007C7F8F">
              <w:rPr>
                <w:rFonts w:ascii="Arial" w:hAnsi="Arial"/>
              </w:rPr>
              <w:t xml:space="preserve">, v. r. </w:t>
            </w:r>
          </w:p>
        </w:tc>
      </w:tr>
      <w:tr w:rsidR="00687976" w:rsidRPr="00687976">
        <w:trPr>
          <w:cantSplit/>
        </w:trPr>
        <w:tc>
          <w:tcPr>
            <w:tcW w:w="9089" w:type="dxa"/>
            <w:gridSpan w:val="4"/>
            <w:tcBorders>
              <w:bottom w:val="nil"/>
            </w:tcBorders>
          </w:tcPr>
          <w:p w:rsidR="00E8256D" w:rsidRPr="00687976" w:rsidRDefault="00E8256D" w:rsidP="00001BF5">
            <w:pPr>
              <w:ind w:left="-53"/>
              <w:rPr>
                <w:b/>
                <w:bCs/>
                <w:sz w:val="16"/>
                <w:szCs w:val="16"/>
              </w:rPr>
            </w:pPr>
          </w:p>
          <w:p w:rsidR="0084744D" w:rsidRPr="00687976" w:rsidRDefault="0084744D" w:rsidP="00001BF5">
            <w:pPr>
              <w:ind w:left="-53"/>
              <w:rPr>
                <w:b/>
                <w:bCs/>
                <w:sz w:val="20"/>
              </w:rPr>
            </w:pPr>
          </w:p>
          <w:p w:rsidR="000E56B2" w:rsidRPr="00687976" w:rsidRDefault="000E56B2" w:rsidP="00001BF5">
            <w:pPr>
              <w:ind w:left="-53"/>
              <w:rPr>
                <w:b/>
                <w:bCs/>
                <w:sz w:val="20"/>
              </w:rPr>
            </w:pPr>
            <w:r w:rsidRPr="00687976">
              <w:rPr>
                <w:b/>
                <w:bCs/>
                <w:sz w:val="20"/>
              </w:rPr>
              <w:t>Návrh usnesení:</w:t>
            </w:r>
          </w:p>
        </w:tc>
      </w:tr>
      <w:tr w:rsidR="00687976" w:rsidRPr="00687976">
        <w:trPr>
          <w:cantSplit/>
        </w:trPr>
        <w:tc>
          <w:tcPr>
            <w:tcW w:w="9089" w:type="dxa"/>
            <w:gridSpan w:val="4"/>
            <w:tcBorders>
              <w:bottom w:val="nil"/>
            </w:tcBorders>
          </w:tcPr>
          <w:p w:rsidR="000E56B2" w:rsidRPr="00687976"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sz w:val="10"/>
                <w:szCs w:val="10"/>
              </w:rPr>
            </w:pPr>
          </w:p>
        </w:tc>
      </w:tr>
    </w:tbl>
    <w:p w:rsidR="00001BF5" w:rsidRPr="00687976" w:rsidRDefault="00001BF5" w:rsidP="00001BF5">
      <w:pPr>
        <w:pStyle w:val="Zkladntext31"/>
        <w:rPr>
          <w:rFonts w:ascii="Arial" w:hAnsi="Arial" w:cs="Arial"/>
          <w:bCs/>
        </w:rPr>
      </w:pPr>
      <w:r w:rsidRPr="00687976">
        <w:rPr>
          <w:rFonts w:ascii="Arial" w:hAnsi="Arial" w:cs="Arial"/>
          <w:bCs/>
        </w:rPr>
        <w:t xml:space="preserve">Zastupitelstvo města Prostějova </w:t>
      </w:r>
    </w:p>
    <w:p w:rsidR="00FB10B0" w:rsidRPr="00687976" w:rsidRDefault="00FB10B0" w:rsidP="00055DA5">
      <w:pPr>
        <w:pStyle w:val="Odstavecseseznamem"/>
        <w:numPr>
          <w:ilvl w:val="0"/>
          <w:numId w:val="9"/>
        </w:numPr>
        <w:ind w:left="284" w:hanging="284"/>
        <w:rPr>
          <w:rFonts w:cs="Arial"/>
          <w:b/>
          <w:bCs/>
          <w:sz w:val="20"/>
        </w:rPr>
      </w:pPr>
      <w:proofErr w:type="gramStart"/>
      <w:r w:rsidRPr="00687976">
        <w:rPr>
          <w:rFonts w:cs="Arial"/>
          <w:b/>
          <w:bCs/>
          <w:sz w:val="20"/>
        </w:rPr>
        <w:t>r e v o k u j e</w:t>
      </w:r>
      <w:proofErr w:type="gramEnd"/>
    </w:p>
    <w:p w:rsidR="00FB10B0" w:rsidRPr="00687976" w:rsidRDefault="00FB10B0" w:rsidP="00FB10B0">
      <w:pPr>
        <w:pStyle w:val="Odstavecseseznamem"/>
        <w:ind w:left="284"/>
        <w:jc w:val="both"/>
        <w:rPr>
          <w:rFonts w:cs="Arial"/>
          <w:b/>
          <w:bCs/>
          <w:sz w:val="20"/>
        </w:rPr>
      </w:pPr>
      <w:r w:rsidRPr="00687976">
        <w:rPr>
          <w:b/>
          <w:sz w:val="20"/>
          <w:lang w:eastAsia="x-none"/>
        </w:rPr>
        <w:t xml:space="preserve">bod 9 usnesení </w:t>
      </w:r>
      <w:r w:rsidRPr="00687976">
        <w:rPr>
          <w:b/>
          <w:sz w:val="20"/>
        </w:rPr>
        <w:t xml:space="preserve">Zastupitelstva města Prostějova č. 10195 ze dne </w:t>
      </w:r>
      <w:proofErr w:type="gramStart"/>
      <w:r w:rsidRPr="00687976">
        <w:rPr>
          <w:b/>
          <w:sz w:val="20"/>
        </w:rPr>
        <w:t>20.09.2011</w:t>
      </w:r>
      <w:proofErr w:type="gramEnd"/>
      <w:r w:rsidRPr="00687976">
        <w:rPr>
          <w:b/>
          <w:sz w:val="20"/>
        </w:rPr>
        <w:t xml:space="preserve"> týkající se schválení prodeje bytové jednotky č. 1622/15 v objektu na ul. Netušilova 3 v Prostějově ,</w:t>
      </w:r>
    </w:p>
    <w:p w:rsidR="00FB10B0" w:rsidRPr="00687976" w:rsidRDefault="00FB10B0" w:rsidP="00055DA5">
      <w:pPr>
        <w:pStyle w:val="Odstavecseseznamem"/>
        <w:numPr>
          <w:ilvl w:val="0"/>
          <w:numId w:val="9"/>
        </w:numPr>
        <w:ind w:left="284" w:hanging="284"/>
        <w:rPr>
          <w:rFonts w:cs="Arial"/>
          <w:b/>
          <w:bCs/>
          <w:sz w:val="20"/>
        </w:rPr>
      </w:pPr>
      <w:r w:rsidRPr="00687976">
        <w:rPr>
          <w:rFonts w:cs="Arial"/>
          <w:b/>
          <w:bCs/>
          <w:sz w:val="20"/>
        </w:rPr>
        <w:t>s</w:t>
      </w:r>
      <w:r w:rsidR="00BA66B0" w:rsidRPr="00687976">
        <w:rPr>
          <w:rFonts w:cs="Arial"/>
          <w:b/>
          <w:bCs/>
          <w:sz w:val="20"/>
        </w:rPr>
        <w:t xml:space="preserve"> </w:t>
      </w:r>
      <w:r w:rsidRPr="00687976">
        <w:rPr>
          <w:rFonts w:cs="Arial"/>
          <w:b/>
          <w:bCs/>
          <w:sz w:val="20"/>
        </w:rPr>
        <w:t>c</w:t>
      </w:r>
      <w:r w:rsidR="00BA66B0" w:rsidRPr="00687976">
        <w:rPr>
          <w:rFonts w:cs="Arial"/>
          <w:b/>
          <w:bCs/>
          <w:sz w:val="20"/>
        </w:rPr>
        <w:t xml:space="preserve"> </w:t>
      </w:r>
      <w:r w:rsidRPr="00687976">
        <w:rPr>
          <w:rFonts w:cs="Arial"/>
          <w:b/>
          <w:bCs/>
          <w:sz w:val="20"/>
        </w:rPr>
        <w:t>h</w:t>
      </w:r>
      <w:r w:rsidR="00BA66B0" w:rsidRPr="00687976">
        <w:rPr>
          <w:rFonts w:cs="Arial"/>
          <w:b/>
          <w:bCs/>
          <w:sz w:val="20"/>
        </w:rPr>
        <w:t> </w:t>
      </w:r>
      <w:r w:rsidRPr="00687976">
        <w:rPr>
          <w:rFonts w:cs="Arial"/>
          <w:b/>
          <w:bCs/>
          <w:sz w:val="20"/>
        </w:rPr>
        <w:t>v</w:t>
      </w:r>
      <w:r w:rsidR="00BA66B0" w:rsidRPr="00687976">
        <w:rPr>
          <w:rFonts w:cs="Arial"/>
          <w:b/>
          <w:bCs/>
          <w:sz w:val="20"/>
        </w:rPr>
        <w:t xml:space="preserve"> </w:t>
      </w:r>
      <w:r w:rsidRPr="00687976">
        <w:rPr>
          <w:rFonts w:cs="Arial"/>
          <w:b/>
          <w:bCs/>
          <w:sz w:val="20"/>
        </w:rPr>
        <w:t>a</w:t>
      </w:r>
      <w:r w:rsidR="00BA66B0" w:rsidRPr="00687976">
        <w:rPr>
          <w:rFonts w:cs="Arial"/>
          <w:b/>
          <w:bCs/>
          <w:sz w:val="20"/>
        </w:rPr>
        <w:t xml:space="preserve"> </w:t>
      </w:r>
      <w:r w:rsidRPr="00687976">
        <w:rPr>
          <w:rFonts w:cs="Arial"/>
          <w:b/>
          <w:bCs/>
          <w:sz w:val="20"/>
        </w:rPr>
        <w:t>l</w:t>
      </w:r>
      <w:r w:rsidR="00BA66B0" w:rsidRPr="00687976">
        <w:rPr>
          <w:rFonts w:cs="Arial"/>
          <w:b/>
          <w:bCs/>
          <w:sz w:val="20"/>
        </w:rPr>
        <w:t> u j e</w:t>
      </w:r>
    </w:p>
    <w:p w:rsidR="00FB10B0" w:rsidRPr="00687976" w:rsidRDefault="00FB10B0" w:rsidP="0084744D">
      <w:pPr>
        <w:pStyle w:val="Odstavecseseznamem"/>
        <w:ind w:left="284"/>
        <w:jc w:val="both"/>
        <w:rPr>
          <w:rFonts w:cs="Arial"/>
          <w:b/>
          <w:bCs/>
          <w:sz w:val="20"/>
        </w:rPr>
      </w:pPr>
      <w:r w:rsidRPr="00687976">
        <w:rPr>
          <w:rFonts w:cs="Arial"/>
          <w:b/>
          <w:bCs/>
          <w:sz w:val="20"/>
        </w:rPr>
        <w:t xml:space="preserve">prodej jednotky </w:t>
      </w:r>
      <w:r w:rsidRPr="00687976">
        <w:rPr>
          <w:rFonts w:cs="Arial"/>
          <w:b/>
          <w:sz w:val="20"/>
        </w:rPr>
        <w:t>č. 1622/15 o výměře 42,93 m</w:t>
      </w:r>
      <w:r w:rsidRPr="00687976">
        <w:rPr>
          <w:rFonts w:cs="Arial"/>
          <w:b/>
          <w:sz w:val="20"/>
          <w:vertAlign w:val="superscript"/>
        </w:rPr>
        <w:t xml:space="preserve">2 </w:t>
      </w:r>
      <w:r w:rsidRPr="00687976">
        <w:rPr>
          <w:rFonts w:cs="Arial"/>
          <w:b/>
          <w:sz w:val="20"/>
        </w:rPr>
        <w:t xml:space="preserve">spolu se spoluvlastnickým podílem o velikosti 43/2261 na společných částech bytového domu </w:t>
      </w:r>
      <w:proofErr w:type="gramStart"/>
      <w:r w:rsidRPr="00687976">
        <w:rPr>
          <w:rFonts w:cs="Arial"/>
          <w:b/>
          <w:sz w:val="20"/>
        </w:rPr>
        <w:t>č.p.</w:t>
      </w:r>
      <w:proofErr w:type="gramEnd"/>
      <w:r w:rsidRPr="00687976">
        <w:rPr>
          <w:rFonts w:cs="Arial"/>
          <w:b/>
          <w:sz w:val="20"/>
        </w:rPr>
        <w:t xml:space="preserve"> 1622 na pozemku </w:t>
      </w:r>
      <w:proofErr w:type="spellStart"/>
      <w:r w:rsidRPr="00687976">
        <w:rPr>
          <w:rFonts w:cs="Arial"/>
          <w:b/>
          <w:sz w:val="20"/>
        </w:rPr>
        <w:t>p.č</w:t>
      </w:r>
      <w:proofErr w:type="spellEnd"/>
      <w:r w:rsidRPr="00687976">
        <w:rPr>
          <w:rFonts w:cs="Arial"/>
          <w:b/>
          <w:sz w:val="20"/>
        </w:rPr>
        <w:t xml:space="preserve">. 2932, pozemku </w:t>
      </w:r>
      <w:proofErr w:type="spellStart"/>
      <w:r w:rsidRPr="00687976">
        <w:rPr>
          <w:rFonts w:cs="Arial"/>
          <w:b/>
          <w:sz w:val="20"/>
        </w:rPr>
        <w:t>p.č</w:t>
      </w:r>
      <w:proofErr w:type="spellEnd"/>
      <w:r w:rsidRPr="00687976">
        <w:rPr>
          <w:rFonts w:cs="Arial"/>
          <w:b/>
          <w:sz w:val="20"/>
        </w:rPr>
        <w:t>. 2932 - zastavěná plocha a nádvoří, o výměře 576 m</w:t>
      </w:r>
      <w:r w:rsidRPr="00687976">
        <w:rPr>
          <w:rFonts w:cs="Arial"/>
          <w:b/>
          <w:sz w:val="20"/>
          <w:vertAlign w:val="superscript"/>
        </w:rPr>
        <w:t>2</w:t>
      </w:r>
      <w:r w:rsidRPr="00687976">
        <w:rPr>
          <w:rFonts w:cs="Arial"/>
          <w:b/>
          <w:sz w:val="20"/>
        </w:rPr>
        <w:t xml:space="preserve"> a pozemku </w:t>
      </w:r>
      <w:proofErr w:type="spellStart"/>
      <w:r w:rsidRPr="00687976">
        <w:rPr>
          <w:rFonts w:cs="Arial"/>
          <w:b/>
          <w:sz w:val="20"/>
        </w:rPr>
        <w:t>p.č</w:t>
      </w:r>
      <w:proofErr w:type="spellEnd"/>
      <w:r w:rsidRPr="00687976">
        <w:rPr>
          <w:rFonts w:cs="Arial"/>
          <w:b/>
          <w:sz w:val="20"/>
        </w:rPr>
        <w:t>. 2935/1 - ostatní plocha o výměře 136 m</w:t>
      </w:r>
      <w:r w:rsidRPr="00687976">
        <w:rPr>
          <w:rFonts w:cs="Arial"/>
          <w:b/>
          <w:sz w:val="20"/>
          <w:vertAlign w:val="superscript"/>
        </w:rPr>
        <w:t>2</w:t>
      </w:r>
      <w:r w:rsidRPr="00687976">
        <w:rPr>
          <w:rFonts w:cs="Arial"/>
          <w:b/>
          <w:sz w:val="20"/>
        </w:rPr>
        <w:t xml:space="preserve">, vše v </w:t>
      </w:r>
      <w:proofErr w:type="spellStart"/>
      <w:r w:rsidRPr="00687976">
        <w:rPr>
          <w:rFonts w:cs="Arial"/>
          <w:b/>
          <w:sz w:val="20"/>
        </w:rPr>
        <w:t>k.ú</w:t>
      </w:r>
      <w:proofErr w:type="spellEnd"/>
      <w:r w:rsidRPr="00687976">
        <w:rPr>
          <w:rFonts w:cs="Arial"/>
          <w:b/>
          <w:sz w:val="20"/>
        </w:rPr>
        <w:t xml:space="preserve">. Prostějov, </w:t>
      </w:r>
      <w:r w:rsidRPr="00687976">
        <w:rPr>
          <w:rFonts w:cs="Arial"/>
          <w:b/>
          <w:bCs/>
          <w:sz w:val="20"/>
        </w:rPr>
        <w:t>za následujících podmínek:</w:t>
      </w:r>
    </w:p>
    <w:p w:rsidR="00FB10B0" w:rsidRPr="00687976" w:rsidRDefault="00FB10B0" w:rsidP="00055DA5">
      <w:pPr>
        <w:pStyle w:val="Zkladntext31"/>
        <w:numPr>
          <w:ilvl w:val="0"/>
          <w:numId w:val="8"/>
        </w:numPr>
        <w:tabs>
          <w:tab w:val="clear" w:pos="360"/>
        </w:tabs>
        <w:ind w:left="567" w:hanging="283"/>
        <w:jc w:val="both"/>
        <w:rPr>
          <w:rFonts w:ascii="Arial" w:hAnsi="Arial" w:cs="Arial"/>
        </w:rPr>
      </w:pPr>
      <w:r w:rsidRPr="00687976">
        <w:rPr>
          <w:rFonts w:ascii="Arial" w:hAnsi="Arial" w:cs="Arial"/>
        </w:rPr>
        <w:t xml:space="preserve">kupní cena bude zaplacena před podpisem kupní smlouvy, </w:t>
      </w:r>
    </w:p>
    <w:p w:rsidR="00FB10B0" w:rsidRPr="00687976" w:rsidRDefault="00FB10B0" w:rsidP="00055DA5">
      <w:pPr>
        <w:pStyle w:val="Zkladntext31"/>
        <w:numPr>
          <w:ilvl w:val="0"/>
          <w:numId w:val="8"/>
        </w:numPr>
        <w:tabs>
          <w:tab w:val="clear" w:pos="360"/>
        </w:tabs>
        <w:ind w:left="567" w:hanging="283"/>
        <w:jc w:val="both"/>
        <w:rPr>
          <w:rFonts w:ascii="Arial" w:hAnsi="Arial" w:cs="Arial"/>
        </w:rPr>
      </w:pPr>
      <w:r w:rsidRPr="00687976">
        <w:rPr>
          <w:rFonts w:ascii="Arial" w:hAnsi="Arial" w:cs="Arial"/>
        </w:rPr>
        <w:t>náklady na zpracování znaleckého posudku a správní poplatek spojený s podáním návrhu na povolení vkladu vlastnického práva do katastru nemovitostí uhradí kupující,</w:t>
      </w:r>
    </w:p>
    <w:p w:rsidR="00FB10B0" w:rsidRPr="00687976" w:rsidRDefault="00FB10B0" w:rsidP="00055DA5">
      <w:pPr>
        <w:pStyle w:val="Zkladntext31"/>
        <w:numPr>
          <w:ilvl w:val="0"/>
          <w:numId w:val="8"/>
        </w:numPr>
        <w:tabs>
          <w:tab w:val="clear" w:pos="360"/>
        </w:tabs>
        <w:ind w:left="567" w:hanging="283"/>
        <w:jc w:val="both"/>
        <w:rPr>
          <w:rFonts w:ascii="Arial" w:hAnsi="Arial" w:cs="Arial"/>
        </w:rPr>
      </w:pPr>
      <w:r w:rsidRPr="00687976">
        <w:rPr>
          <w:rFonts w:ascii="Arial" w:hAnsi="Arial" w:cs="Arial"/>
        </w:rPr>
        <w:t>při prodeji předmětného majetku bude uplatněn postup dle Směrnice č. 4/2013, kterou se upravuje systém aplikace kaucí při prodeji majetku Statutárního města Prostějova,</w:t>
      </w:r>
    </w:p>
    <w:p w:rsidR="00FB10B0" w:rsidRPr="00687976" w:rsidRDefault="00FB10B0" w:rsidP="00FB10B0">
      <w:pPr>
        <w:pStyle w:val="Zkladntext31"/>
        <w:ind w:firstLine="284"/>
        <w:jc w:val="both"/>
        <w:rPr>
          <w:rFonts w:ascii="Arial" w:hAnsi="Arial" w:cs="Arial"/>
        </w:rPr>
      </w:pPr>
      <w:r w:rsidRPr="00687976">
        <w:rPr>
          <w:rFonts w:ascii="Arial" w:hAnsi="Arial" w:cs="Arial"/>
        </w:rPr>
        <w:t xml:space="preserve">a pro uzavření kupní smlouvy stanovuje následující pořadí zájemců: </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1 </w:t>
      </w:r>
      <w:r w:rsidR="00FB10B0" w:rsidRPr="00687976">
        <w:rPr>
          <w:rFonts w:ascii="Arial" w:hAnsi="Arial" w:cs="Arial"/>
        </w:rPr>
        <w:t xml:space="preserve">za nabídnutou kupní cenu ve výši 909.000 Kč, </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zájemce č. 2</w:t>
      </w:r>
      <w:r w:rsidR="00FB10B0" w:rsidRPr="00687976">
        <w:rPr>
          <w:rFonts w:ascii="Arial" w:hAnsi="Arial" w:cs="Arial"/>
        </w:rPr>
        <w:t xml:space="preserve"> za nabídnutou kupní cenu ve výši 860.000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3 </w:t>
      </w:r>
      <w:r w:rsidR="00FB10B0" w:rsidRPr="00687976">
        <w:rPr>
          <w:rFonts w:ascii="Arial" w:hAnsi="Arial" w:cs="Arial"/>
        </w:rPr>
        <w:t>za nabídnutou kupní cenu ve výši 827.750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4 </w:t>
      </w:r>
      <w:r w:rsidR="00FB10B0" w:rsidRPr="00687976">
        <w:rPr>
          <w:rFonts w:ascii="Arial" w:hAnsi="Arial" w:cs="Arial"/>
        </w:rPr>
        <w:t>za nabídnutou kupní cenu ve výši 805.000 Kč, přičemž prodej bude realizován do spoluvlastnictví (každému podíl o velikosti 1/2),</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5 </w:t>
      </w:r>
      <w:r w:rsidR="00FB10B0" w:rsidRPr="00687976">
        <w:rPr>
          <w:rFonts w:ascii="Arial" w:hAnsi="Arial" w:cs="Arial"/>
        </w:rPr>
        <w:t>za nabídnutou kupní cenu ve výši 790.000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6 </w:t>
      </w:r>
      <w:r w:rsidR="00FB10B0" w:rsidRPr="00687976">
        <w:rPr>
          <w:rFonts w:ascii="Arial" w:hAnsi="Arial" w:cs="Arial"/>
        </w:rPr>
        <w:t>za nabídnutou kupní cenu ve výši 780.000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7 </w:t>
      </w:r>
      <w:r w:rsidR="00FB10B0" w:rsidRPr="00687976">
        <w:rPr>
          <w:rFonts w:ascii="Arial" w:hAnsi="Arial" w:cs="Arial"/>
        </w:rPr>
        <w:t>za nabídnutou kupní cenu ve výši 750.000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8 </w:t>
      </w:r>
      <w:r w:rsidR="00FB10B0" w:rsidRPr="00687976">
        <w:rPr>
          <w:rFonts w:ascii="Arial" w:hAnsi="Arial" w:cs="Arial"/>
        </w:rPr>
        <w:t>za nabídnutou kupní cenu ve výši 723.565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9 </w:t>
      </w:r>
      <w:r w:rsidR="00FB10B0" w:rsidRPr="00687976">
        <w:rPr>
          <w:rFonts w:ascii="Arial" w:hAnsi="Arial" w:cs="Arial"/>
        </w:rPr>
        <w:t>za nabídnutou kupní cenu ve výši 710.000 Kč,</w:t>
      </w:r>
    </w:p>
    <w:p w:rsidR="00FB10B0" w:rsidRPr="00687976" w:rsidRDefault="007C7F8F" w:rsidP="00055DA5">
      <w:pPr>
        <w:pStyle w:val="Zkladntext31"/>
        <w:numPr>
          <w:ilvl w:val="0"/>
          <w:numId w:val="6"/>
        </w:numPr>
        <w:tabs>
          <w:tab w:val="clear" w:pos="360"/>
        </w:tabs>
        <w:ind w:left="567" w:hanging="283"/>
        <w:jc w:val="both"/>
        <w:rPr>
          <w:rFonts w:ascii="Arial" w:hAnsi="Arial" w:cs="Arial"/>
        </w:rPr>
      </w:pPr>
      <w:r>
        <w:rPr>
          <w:rFonts w:ascii="Arial" w:hAnsi="Arial" w:cs="Arial"/>
          <w:lang w:val="cs-CZ"/>
        </w:rPr>
        <w:t xml:space="preserve">zájemce č. 10 </w:t>
      </w:r>
      <w:r w:rsidR="00FB10B0" w:rsidRPr="00687976">
        <w:rPr>
          <w:rFonts w:ascii="Arial" w:hAnsi="Arial" w:cs="Arial"/>
        </w:rPr>
        <w:t>za nabídnutou kupní cenu ve výši 701.009 Kč.</w:t>
      </w:r>
    </w:p>
    <w:p w:rsidR="005B58F4" w:rsidRPr="00687976" w:rsidRDefault="005B58F4" w:rsidP="005B58F4">
      <w:pPr>
        <w:tabs>
          <w:tab w:val="left" w:pos="561"/>
        </w:tabs>
        <w:jc w:val="both"/>
        <w:rPr>
          <w:b/>
          <w:bCs/>
          <w:sz w:val="20"/>
        </w:rPr>
      </w:pPr>
    </w:p>
    <w:p w:rsidR="00BA66B0" w:rsidRPr="00687976" w:rsidRDefault="00BA66B0" w:rsidP="005B58F4">
      <w:pPr>
        <w:tabs>
          <w:tab w:val="left" w:pos="561"/>
        </w:tabs>
        <w:jc w:val="both"/>
        <w:rPr>
          <w:b/>
          <w:bCs/>
          <w:sz w:val="20"/>
        </w:rPr>
      </w:pPr>
    </w:p>
    <w:p w:rsidR="000E56B2" w:rsidRPr="00687976" w:rsidRDefault="000E56B2">
      <w:pPr>
        <w:jc w:val="both"/>
        <w:rPr>
          <w:rFonts w:cs="Arial"/>
          <w:sz w:val="20"/>
        </w:rPr>
      </w:pPr>
      <w:r w:rsidRPr="00687976">
        <w:rPr>
          <w:rFonts w:cs="Arial"/>
          <w:sz w:val="20"/>
        </w:rPr>
        <w:t xml:space="preserve">Důvodová zpráva: </w:t>
      </w:r>
    </w:p>
    <w:p w:rsidR="00BA66B0" w:rsidRPr="00687976" w:rsidRDefault="00BA66B0" w:rsidP="00BA66B0">
      <w:pPr>
        <w:pStyle w:val="Zkladntext2"/>
        <w:rPr>
          <w:lang w:val="cs-CZ"/>
        </w:rPr>
      </w:pPr>
    </w:p>
    <w:p w:rsidR="00FB10B0" w:rsidRPr="00687976" w:rsidRDefault="00FB10B0" w:rsidP="00FB10B0">
      <w:pPr>
        <w:jc w:val="both"/>
        <w:rPr>
          <w:sz w:val="20"/>
        </w:rPr>
      </w:pPr>
      <w:r w:rsidRPr="00687976">
        <w:rPr>
          <w:b/>
          <w:bCs/>
          <w:sz w:val="20"/>
        </w:rPr>
        <w:t>Zastupitelstvo města Prostějova</w:t>
      </w:r>
      <w:r w:rsidRPr="00687976">
        <w:rPr>
          <w:sz w:val="20"/>
        </w:rPr>
        <w:t xml:space="preserve"> dne </w:t>
      </w:r>
      <w:proofErr w:type="gramStart"/>
      <w:r w:rsidRPr="00687976">
        <w:rPr>
          <w:sz w:val="20"/>
        </w:rPr>
        <w:t>22.12.2009</w:t>
      </w:r>
      <w:proofErr w:type="gramEnd"/>
      <w:r w:rsidRPr="00687976">
        <w:rPr>
          <w:sz w:val="20"/>
        </w:rPr>
        <w:t xml:space="preserve"> usnesením č. 19281 mimo jiné </w:t>
      </w:r>
      <w:r w:rsidRPr="00687976">
        <w:rPr>
          <w:b/>
          <w:bCs/>
          <w:sz w:val="20"/>
        </w:rPr>
        <w:t>schválilo</w:t>
      </w:r>
      <w:r w:rsidRPr="00687976">
        <w:rPr>
          <w:sz w:val="20"/>
        </w:rPr>
        <w:t xml:space="preserve"> postup při prodeji bytových domů na ul. Dolní 2, 4 a 6 v Prostějově, na ul. Palackého 2, 2a v Prostějově, na ul. Wolkerova 31 a na ul. Netušilova 3 v Prostějově tak, že nebytové prostory v těchto domech zůstanou v majetku města Prostějova a byty budou přednostně nabídnuty v souladu se zněním zákona č. 72/1994 Sb., kterým se upravují některé spoluvlastnické vztahy k budovám a některé vlastnické vztahy k bytům a nebytovým prostorům a doplňují některé zákony (zákon o vlastnictví bytů), v platném znění, jejich nájemcům. </w:t>
      </w:r>
    </w:p>
    <w:p w:rsidR="00FB10B0" w:rsidRPr="00687976" w:rsidRDefault="00FB10B0" w:rsidP="00FB10B0">
      <w:pPr>
        <w:jc w:val="both"/>
        <w:rPr>
          <w:rFonts w:cs="Arial"/>
          <w:sz w:val="20"/>
        </w:rPr>
      </w:pPr>
    </w:p>
    <w:p w:rsidR="00FB10B0" w:rsidRPr="00687976" w:rsidRDefault="00FB10B0" w:rsidP="00FB10B0">
      <w:pPr>
        <w:pStyle w:val="Prosttext"/>
        <w:jc w:val="both"/>
        <w:rPr>
          <w:rFonts w:ascii="Arial" w:hAnsi="Arial" w:cs="Arial"/>
          <w:sz w:val="20"/>
        </w:rPr>
      </w:pPr>
      <w:r w:rsidRPr="00687976">
        <w:rPr>
          <w:rFonts w:ascii="Arial" w:hAnsi="Arial" w:cs="Arial"/>
          <w:b/>
          <w:sz w:val="20"/>
        </w:rPr>
        <w:t xml:space="preserve">Zastupitelstvo města Prostějova </w:t>
      </w:r>
      <w:r w:rsidRPr="00687976">
        <w:rPr>
          <w:rFonts w:ascii="Arial" w:hAnsi="Arial" w:cs="Arial"/>
          <w:sz w:val="20"/>
        </w:rPr>
        <w:t xml:space="preserve">dne </w:t>
      </w:r>
      <w:proofErr w:type="gramStart"/>
      <w:r w:rsidRPr="00687976">
        <w:rPr>
          <w:rFonts w:ascii="Arial" w:hAnsi="Arial" w:cs="Arial"/>
          <w:sz w:val="20"/>
        </w:rPr>
        <w:t>29.06.2010</w:t>
      </w:r>
      <w:proofErr w:type="gramEnd"/>
      <w:r w:rsidRPr="00687976">
        <w:rPr>
          <w:rFonts w:ascii="Arial" w:hAnsi="Arial" w:cs="Arial"/>
          <w:sz w:val="20"/>
        </w:rPr>
        <w:t xml:space="preserve"> usnesením č. 11113 mimo jiné </w:t>
      </w:r>
      <w:r w:rsidRPr="00687976">
        <w:rPr>
          <w:rFonts w:ascii="Arial" w:hAnsi="Arial" w:cs="Arial"/>
          <w:b/>
          <w:sz w:val="20"/>
        </w:rPr>
        <w:t xml:space="preserve">schválilo </w:t>
      </w:r>
      <w:r w:rsidRPr="00687976">
        <w:rPr>
          <w:rFonts w:ascii="Arial" w:hAnsi="Arial" w:cs="Arial"/>
          <w:sz w:val="20"/>
        </w:rPr>
        <w:t xml:space="preserve">postup při prodeji bytového domu na ul. Svatoplukova 15 v Prostějově tak, že nebytové prostory v tomto domě zůstanou v majetku města Prostějova a byty budou přednostně nabídnuty v souladu se zněním zákona č. 72/1994 Sb., kterým se upravují některé spoluvlastnické vztahy k budovám a některé vlastnické vztahy k bytům a nebytovým prostorům a doplňují některé zákony (zákon o vlastnictví bytů), v platném znění, jejich nájemcům. </w:t>
      </w:r>
    </w:p>
    <w:p w:rsidR="00FB10B0" w:rsidRPr="00687976" w:rsidRDefault="00FB10B0" w:rsidP="00FB10B0">
      <w:pPr>
        <w:pStyle w:val="Prosttext"/>
        <w:jc w:val="both"/>
        <w:rPr>
          <w:rFonts w:ascii="Arial" w:hAnsi="Arial" w:cs="Arial"/>
          <w:sz w:val="20"/>
        </w:rPr>
      </w:pPr>
    </w:p>
    <w:p w:rsidR="00FB10B0" w:rsidRPr="00687976" w:rsidRDefault="00FB10B0" w:rsidP="00FB10B0">
      <w:pPr>
        <w:jc w:val="both"/>
        <w:rPr>
          <w:sz w:val="20"/>
        </w:rPr>
      </w:pPr>
      <w:r w:rsidRPr="00687976">
        <w:rPr>
          <w:b/>
          <w:bCs/>
          <w:sz w:val="20"/>
        </w:rPr>
        <w:lastRenderedPageBreak/>
        <w:t>Zastupitelstvo města Prostějova</w:t>
      </w:r>
      <w:r w:rsidRPr="00687976">
        <w:rPr>
          <w:sz w:val="20"/>
        </w:rPr>
        <w:t xml:space="preserve"> dne </w:t>
      </w:r>
      <w:proofErr w:type="gramStart"/>
      <w:r w:rsidRPr="00687976">
        <w:rPr>
          <w:sz w:val="20"/>
        </w:rPr>
        <w:t>15.02.2011</w:t>
      </w:r>
      <w:proofErr w:type="gramEnd"/>
      <w:r w:rsidRPr="00687976">
        <w:rPr>
          <w:sz w:val="20"/>
        </w:rPr>
        <w:t xml:space="preserve"> usnesením č. 10045 </w:t>
      </w:r>
      <w:r w:rsidRPr="00687976">
        <w:rPr>
          <w:b/>
          <w:bCs/>
          <w:sz w:val="20"/>
        </w:rPr>
        <w:t>schválilo</w:t>
      </w:r>
      <w:r w:rsidRPr="00687976">
        <w:rPr>
          <w:sz w:val="20"/>
        </w:rPr>
        <w:t xml:space="preserve"> následující podmínky při prodeji bytových jednotek v objektech na ul. Dolní 2, 4 a 6 v Prostějově, na ul. Palackého 2, 2a v Prostějově, na ul. Wolkerova 31 v Prostějově, na ul. Netušilova 3 v Prostějově a na ul. Svatoplukova 15 v Prostějově:</w:t>
      </w:r>
    </w:p>
    <w:p w:rsidR="00FB10B0" w:rsidRPr="00687976" w:rsidRDefault="00FB10B0" w:rsidP="00055DA5">
      <w:pPr>
        <w:numPr>
          <w:ilvl w:val="0"/>
          <w:numId w:val="10"/>
        </w:numPr>
        <w:ind w:left="284" w:hanging="284"/>
        <w:jc w:val="both"/>
        <w:rPr>
          <w:b/>
          <w:sz w:val="20"/>
        </w:rPr>
      </w:pPr>
      <w:r w:rsidRPr="00687976">
        <w:rPr>
          <w:sz w:val="20"/>
        </w:rPr>
        <w:t xml:space="preserve">bytové jednotky budou přednostně nabídnuty v souladu se zněním zákona č. 72/1994 Sb., kterým se upravují některé spoluvlastnické vztahy k budovám a některé vlastnické vztahy k bytům a nebytovým prostorům a doplňují některé zákony (zákon o vlastnictví bytů), v platném znění, jejich nájemcům, </w:t>
      </w:r>
      <w:r w:rsidRPr="00687976">
        <w:rPr>
          <w:b/>
          <w:sz w:val="20"/>
        </w:rPr>
        <w:t>volné bytové jednotky a bytové jednotky, u kterých nebude využito zákonného přednostního práva jejich nájemců, budou nabízeny formou obecného záměru (obálková metoda), nebytové jednotky zůstanou ve vlastnictví města Prostějova,</w:t>
      </w:r>
    </w:p>
    <w:p w:rsidR="00FB10B0" w:rsidRPr="00687976" w:rsidRDefault="00FB10B0" w:rsidP="00055DA5">
      <w:pPr>
        <w:numPr>
          <w:ilvl w:val="0"/>
          <w:numId w:val="10"/>
        </w:numPr>
        <w:ind w:left="284" w:hanging="284"/>
        <w:jc w:val="both"/>
        <w:rPr>
          <w:sz w:val="20"/>
        </w:rPr>
      </w:pPr>
      <w:r w:rsidRPr="00687976">
        <w:rPr>
          <w:bCs/>
          <w:sz w:val="20"/>
        </w:rPr>
        <w:t>podkladem pro stanovení kupní ceny jednotlivých bytových jednotek bude cena obvyklá stanovená na základě znaleckého posudku,</w:t>
      </w:r>
    </w:p>
    <w:p w:rsidR="00FB10B0" w:rsidRPr="00687976" w:rsidRDefault="00FB10B0" w:rsidP="00055DA5">
      <w:pPr>
        <w:numPr>
          <w:ilvl w:val="0"/>
          <w:numId w:val="10"/>
        </w:numPr>
        <w:ind w:left="284" w:hanging="284"/>
        <w:jc w:val="both"/>
        <w:rPr>
          <w:sz w:val="20"/>
        </w:rPr>
      </w:pPr>
      <w:r w:rsidRPr="00687976">
        <w:rPr>
          <w:sz w:val="20"/>
        </w:rPr>
        <w:t xml:space="preserve">na straně kupujícího nemůže vystupovat osoba mající vůči městu Prostějovu jakýkoliv dluh po lhůtě splatnosti (na nájemném nebo na úhradě za plnění poskytovaná v souvislosti s užíváním bytu, na poplatku za odpady a jiné), </w:t>
      </w:r>
    </w:p>
    <w:p w:rsidR="00FB10B0" w:rsidRPr="00687976" w:rsidRDefault="00FB10B0" w:rsidP="00055DA5">
      <w:pPr>
        <w:numPr>
          <w:ilvl w:val="0"/>
          <w:numId w:val="10"/>
        </w:numPr>
        <w:ind w:left="284" w:hanging="284"/>
        <w:jc w:val="both"/>
        <w:rPr>
          <w:sz w:val="20"/>
        </w:rPr>
      </w:pPr>
      <w:r w:rsidRPr="00687976">
        <w:rPr>
          <w:bCs/>
          <w:sz w:val="20"/>
        </w:rPr>
        <w:t>náklady na zpracování znaleckého posudku a správní poplatek spojený s podáním návrhu na vklad vlastnického práva do katastru nemovitostí uhradí kupující,</w:t>
      </w:r>
    </w:p>
    <w:p w:rsidR="00FB10B0" w:rsidRPr="00687976" w:rsidRDefault="00FB10B0" w:rsidP="00055DA5">
      <w:pPr>
        <w:numPr>
          <w:ilvl w:val="0"/>
          <w:numId w:val="10"/>
        </w:numPr>
        <w:ind w:left="284" w:hanging="284"/>
        <w:jc w:val="both"/>
        <w:rPr>
          <w:sz w:val="20"/>
        </w:rPr>
      </w:pPr>
      <w:r w:rsidRPr="00687976">
        <w:rPr>
          <w:bCs/>
          <w:sz w:val="20"/>
        </w:rPr>
        <w:t>náklady spojené s rozdělením předmětných objektů na bytové a nebytové jednotky uhradí město Prostějov,</w:t>
      </w:r>
    </w:p>
    <w:p w:rsidR="00FB10B0" w:rsidRPr="00687976" w:rsidRDefault="00FB10B0" w:rsidP="00055DA5">
      <w:pPr>
        <w:numPr>
          <w:ilvl w:val="0"/>
          <w:numId w:val="10"/>
        </w:numPr>
        <w:ind w:left="284" w:hanging="284"/>
        <w:jc w:val="both"/>
        <w:rPr>
          <w:sz w:val="20"/>
        </w:rPr>
      </w:pPr>
      <w:r w:rsidRPr="00687976">
        <w:rPr>
          <w:bCs/>
          <w:sz w:val="20"/>
        </w:rPr>
        <w:t>v případě prodeje bytových jednotek jejich nájemcům dle zákona č. 72/1994 Sb.,</w:t>
      </w:r>
      <w:r w:rsidRPr="00687976">
        <w:rPr>
          <w:sz w:val="20"/>
        </w:rPr>
        <w:t xml:space="preserve"> kterým se upravují některé spoluvlastnické vztahy k budovám a některé vlastnické vztahy k bytům a nebytovým prostorům a doplňují některé zákony (zákon o vlastnictví bytů), v platném znění, budou podle způsobu úhrady kupní ceny uplatněny následující slevy:</w:t>
      </w:r>
    </w:p>
    <w:p w:rsidR="00FB10B0" w:rsidRPr="00687976" w:rsidRDefault="00FB10B0" w:rsidP="00055DA5">
      <w:pPr>
        <w:numPr>
          <w:ilvl w:val="0"/>
          <w:numId w:val="11"/>
        </w:numPr>
        <w:tabs>
          <w:tab w:val="left" w:pos="656"/>
        </w:tabs>
        <w:ind w:left="656" w:hanging="372"/>
        <w:jc w:val="both"/>
        <w:rPr>
          <w:bCs/>
          <w:sz w:val="20"/>
        </w:rPr>
      </w:pPr>
      <w:r w:rsidRPr="00687976">
        <w:rPr>
          <w:bCs/>
          <w:sz w:val="20"/>
        </w:rPr>
        <w:t>10% z kupní ceny v případě úhrady kupní ceny v plné výši před podpisem kupní smlouvy,</w:t>
      </w:r>
    </w:p>
    <w:p w:rsidR="00FB10B0" w:rsidRPr="00687976" w:rsidRDefault="00FB10B0" w:rsidP="00055DA5">
      <w:pPr>
        <w:numPr>
          <w:ilvl w:val="0"/>
          <w:numId w:val="11"/>
        </w:numPr>
        <w:tabs>
          <w:tab w:val="left" w:pos="656"/>
        </w:tabs>
        <w:ind w:left="656" w:hanging="372"/>
        <w:jc w:val="both"/>
        <w:rPr>
          <w:bCs/>
          <w:sz w:val="20"/>
        </w:rPr>
      </w:pPr>
      <w:r w:rsidRPr="00687976">
        <w:rPr>
          <w:bCs/>
          <w:sz w:val="20"/>
        </w:rPr>
        <w:t>5% z kupní ceny v případě úhrady 40% z kupní ceny před podpisem kupní smlouvy a doplatku zbytku kupní ceny do 90 dní ode dne podpisu kupní smlouvy.</w:t>
      </w:r>
    </w:p>
    <w:p w:rsidR="00FB10B0" w:rsidRPr="00687976" w:rsidRDefault="00FB10B0" w:rsidP="00FB10B0">
      <w:pPr>
        <w:jc w:val="both"/>
        <w:rPr>
          <w:rFonts w:cs="Arial"/>
          <w:sz w:val="20"/>
        </w:rPr>
      </w:pPr>
    </w:p>
    <w:p w:rsidR="00FB10B0" w:rsidRPr="00687976" w:rsidRDefault="00FB10B0" w:rsidP="00FB10B0">
      <w:pPr>
        <w:pStyle w:val="Zkladntext2"/>
        <w:rPr>
          <w:rFonts w:cs="Arial"/>
          <w:b/>
          <w:bCs/>
          <w:lang w:val="cs-CZ"/>
        </w:rPr>
      </w:pPr>
      <w:r w:rsidRPr="00687976">
        <w:rPr>
          <w:rFonts w:cs="Arial"/>
          <w:b/>
        </w:rPr>
        <w:t>Zastupitelstvo města Prostějova</w:t>
      </w:r>
      <w:r w:rsidRPr="00687976">
        <w:rPr>
          <w:rFonts w:cs="Arial"/>
        </w:rPr>
        <w:t xml:space="preserve"> dne </w:t>
      </w:r>
      <w:r w:rsidRPr="00687976">
        <w:rPr>
          <w:rFonts w:cs="Arial"/>
          <w:lang w:val="cs-CZ"/>
        </w:rPr>
        <w:t>20</w:t>
      </w:r>
      <w:r w:rsidRPr="00687976">
        <w:rPr>
          <w:rFonts w:cs="Arial"/>
        </w:rPr>
        <w:t>.</w:t>
      </w:r>
      <w:r w:rsidRPr="00687976">
        <w:rPr>
          <w:rFonts w:cs="Arial"/>
          <w:lang w:val="cs-CZ"/>
        </w:rPr>
        <w:t>09</w:t>
      </w:r>
      <w:r w:rsidRPr="00687976">
        <w:rPr>
          <w:rFonts w:cs="Arial"/>
        </w:rPr>
        <w:t>.201</w:t>
      </w:r>
      <w:r w:rsidRPr="00687976">
        <w:rPr>
          <w:rFonts w:cs="Arial"/>
          <w:lang w:val="cs-CZ"/>
        </w:rPr>
        <w:t>1</w:t>
      </w:r>
      <w:r w:rsidRPr="00687976">
        <w:rPr>
          <w:rFonts w:cs="Arial"/>
        </w:rPr>
        <w:t xml:space="preserve"> usnesením č. 10</w:t>
      </w:r>
      <w:r w:rsidRPr="00687976">
        <w:rPr>
          <w:rFonts w:cs="Arial"/>
          <w:lang w:val="cs-CZ"/>
        </w:rPr>
        <w:t>195</w:t>
      </w:r>
      <w:r w:rsidRPr="00687976">
        <w:rPr>
          <w:rFonts w:cs="Arial"/>
        </w:rPr>
        <w:t xml:space="preserve"> </w:t>
      </w:r>
      <w:r w:rsidRPr="00687976">
        <w:rPr>
          <w:rFonts w:cs="Arial"/>
          <w:b/>
        </w:rPr>
        <w:t>schválilo</w:t>
      </w:r>
      <w:r w:rsidRPr="00687976">
        <w:rPr>
          <w:rFonts w:cs="Arial"/>
        </w:rPr>
        <w:t xml:space="preserve"> v souladu s usnesením Zastupitelstva města Prostějova č. 10045 ze dne 15.02.2011, kterým byly schváleny podmínky při prodeji bytových jednotek v objektech na ul. Dolní 2, 4 a 6 v Prostějově, na ul. Palackého 2, 2a v Prostějově, na ul. Wolkerova 31 v Prostějově, na ul. Netušilova 3 v Prostějově a na ul. Svatoplukova 15 v Prostějově, a v souladu se zněním zákona č. 72/1994 Sb., kterým se upravují některé spoluvlastnické vztahy k budovám a některé vlastnické vztahy k bytům a nebytových prostorům a doplňují některé zákony (zákon o vlastnictví bytů), v platném znění, prodej bytových jednotek v objektu na ul. </w:t>
      </w:r>
      <w:r w:rsidRPr="00687976">
        <w:rPr>
          <w:rFonts w:cs="Arial"/>
          <w:lang w:val="cs-CZ"/>
        </w:rPr>
        <w:t xml:space="preserve">Netušilova 3 </w:t>
      </w:r>
      <w:r w:rsidRPr="00687976">
        <w:rPr>
          <w:rFonts w:cs="Arial"/>
        </w:rPr>
        <w:t xml:space="preserve">v Prostějově oprávněným nájemcům, </w:t>
      </w:r>
      <w:r w:rsidRPr="00687976">
        <w:rPr>
          <w:rFonts w:cs="Arial"/>
          <w:lang w:val="cs-CZ"/>
        </w:rPr>
        <w:t xml:space="preserve">mimo jiné v bodě 9. </w:t>
      </w:r>
      <w:r w:rsidRPr="00687976">
        <w:rPr>
          <w:rFonts w:cs="Arial"/>
        </w:rPr>
        <w:t>bytové jednotky č. 1622/15 o výměře 42,93 m</w:t>
      </w:r>
      <w:r w:rsidRPr="00687976">
        <w:rPr>
          <w:rFonts w:cs="Arial"/>
          <w:vertAlign w:val="superscript"/>
        </w:rPr>
        <w:t>2</w:t>
      </w:r>
      <w:r w:rsidRPr="00687976">
        <w:rPr>
          <w:rFonts w:cs="Arial"/>
        </w:rPr>
        <w:t xml:space="preserve"> spolu se spoluvlastnickým podílem o velikosti 43/2261 na společných částech objektu k bydlení </w:t>
      </w:r>
      <w:proofErr w:type="gramStart"/>
      <w:r w:rsidRPr="00687976">
        <w:rPr>
          <w:rFonts w:cs="Arial"/>
        </w:rPr>
        <w:t>č.p.</w:t>
      </w:r>
      <w:proofErr w:type="gramEnd"/>
      <w:r w:rsidRPr="00687976">
        <w:rPr>
          <w:rFonts w:cs="Arial"/>
        </w:rPr>
        <w:t xml:space="preserve"> 1622 na pozemku </w:t>
      </w:r>
      <w:proofErr w:type="spellStart"/>
      <w:r w:rsidRPr="00687976">
        <w:rPr>
          <w:rFonts w:cs="Arial"/>
        </w:rPr>
        <w:t>p.č</w:t>
      </w:r>
      <w:proofErr w:type="spellEnd"/>
      <w:r w:rsidRPr="00687976">
        <w:rPr>
          <w:rFonts w:cs="Arial"/>
        </w:rPr>
        <w:t xml:space="preserve">. 2932, pozemku </w:t>
      </w:r>
      <w:proofErr w:type="spellStart"/>
      <w:r w:rsidRPr="00687976">
        <w:rPr>
          <w:rFonts w:cs="Arial"/>
        </w:rPr>
        <w:t>p.č</w:t>
      </w:r>
      <w:proofErr w:type="spellEnd"/>
      <w:r w:rsidRPr="00687976">
        <w:rPr>
          <w:rFonts w:cs="Arial"/>
        </w:rPr>
        <w:t>. 2932 - zastavěná plocha a nádvoří, o výměře 576 m</w:t>
      </w:r>
      <w:r w:rsidRPr="00687976">
        <w:rPr>
          <w:rFonts w:cs="Arial"/>
          <w:vertAlign w:val="superscript"/>
        </w:rPr>
        <w:t>2</w:t>
      </w:r>
      <w:r w:rsidRPr="00687976">
        <w:rPr>
          <w:rFonts w:cs="Arial"/>
        </w:rPr>
        <w:t xml:space="preserve"> a pozemku </w:t>
      </w:r>
      <w:proofErr w:type="spellStart"/>
      <w:r w:rsidRPr="00687976">
        <w:rPr>
          <w:rFonts w:cs="Arial"/>
        </w:rPr>
        <w:t>p.č</w:t>
      </w:r>
      <w:proofErr w:type="spellEnd"/>
      <w:r w:rsidRPr="00687976">
        <w:rPr>
          <w:rFonts w:cs="Arial"/>
        </w:rPr>
        <w:t>. 2935/1 - ostatní plocha o výměře 136 m</w:t>
      </w:r>
      <w:r w:rsidRPr="00687976">
        <w:rPr>
          <w:rFonts w:cs="Arial"/>
          <w:vertAlign w:val="superscript"/>
        </w:rPr>
        <w:t>2</w:t>
      </w:r>
      <w:r w:rsidRPr="00687976">
        <w:rPr>
          <w:rFonts w:cs="Arial"/>
        </w:rPr>
        <w:t xml:space="preserve">, vše v </w:t>
      </w:r>
      <w:proofErr w:type="spellStart"/>
      <w:r w:rsidRPr="00687976">
        <w:rPr>
          <w:rFonts w:cs="Arial"/>
        </w:rPr>
        <w:t>k.ú</w:t>
      </w:r>
      <w:proofErr w:type="spellEnd"/>
      <w:r w:rsidRPr="00687976">
        <w:rPr>
          <w:rFonts w:cs="Arial"/>
        </w:rPr>
        <w:t>. Prostějov,  za následujících podmínek:</w:t>
      </w:r>
    </w:p>
    <w:p w:rsidR="00FB10B0" w:rsidRPr="00687976" w:rsidRDefault="00FB10B0" w:rsidP="00055DA5">
      <w:pPr>
        <w:pStyle w:val="Prosttext"/>
        <w:numPr>
          <w:ilvl w:val="0"/>
          <w:numId w:val="12"/>
        </w:numPr>
        <w:ind w:left="284" w:hanging="284"/>
        <w:jc w:val="both"/>
        <w:rPr>
          <w:rFonts w:ascii="Arial" w:hAnsi="Arial" w:cs="Arial"/>
          <w:sz w:val="20"/>
        </w:rPr>
      </w:pPr>
      <w:r w:rsidRPr="00687976">
        <w:rPr>
          <w:rFonts w:ascii="Arial" w:hAnsi="Arial" w:cs="Arial"/>
          <w:sz w:val="20"/>
        </w:rPr>
        <w:t>kupní cena bude činit 90% ceny obvyklé stanovené znaleckým posudkem, tj. 334.800 Kč, a bude zaplacena v plné výši před podpisem kupní smlouvy,</w:t>
      </w:r>
    </w:p>
    <w:p w:rsidR="00FB10B0" w:rsidRPr="00687976" w:rsidRDefault="00FB10B0" w:rsidP="00055DA5">
      <w:pPr>
        <w:pStyle w:val="Prosttext"/>
        <w:numPr>
          <w:ilvl w:val="0"/>
          <w:numId w:val="12"/>
        </w:numPr>
        <w:ind w:left="284" w:hanging="284"/>
        <w:jc w:val="both"/>
        <w:rPr>
          <w:rFonts w:ascii="Arial" w:hAnsi="Arial" w:cs="Arial"/>
          <w:sz w:val="20"/>
        </w:rPr>
      </w:pPr>
      <w:r w:rsidRPr="00687976">
        <w:rPr>
          <w:rFonts w:ascii="Arial" w:hAnsi="Arial" w:cs="Arial"/>
          <w:sz w:val="20"/>
        </w:rPr>
        <w:t>náklady na zpracování znaleckého posudku a správní poplatek spojený s podáním návrhu na povolení vkladu vlastnického práva do katastru nemovitostí uhradí kupující.</w:t>
      </w:r>
    </w:p>
    <w:p w:rsidR="00FB10B0" w:rsidRPr="00687976" w:rsidRDefault="00FB10B0" w:rsidP="00FB10B0">
      <w:pPr>
        <w:pStyle w:val="Zkladntext2"/>
        <w:rPr>
          <w:rFonts w:cs="Arial"/>
          <w:b/>
          <w:bCs/>
          <w:lang w:val="cs-CZ"/>
        </w:rPr>
      </w:pPr>
    </w:p>
    <w:p w:rsidR="00FB10B0" w:rsidRPr="00687976" w:rsidRDefault="00FB10B0" w:rsidP="00FB10B0">
      <w:pPr>
        <w:autoSpaceDE w:val="0"/>
        <w:autoSpaceDN w:val="0"/>
        <w:adjustRightInd w:val="0"/>
        <w:jc w:val="both"/>
        <w:rPr>
          <w:sz w:val="20"/>
        </w:rPr>
      </w:pPr>
      <w:r w:rsidRPr="00687976">
        <w:rPr>
          <w:b/>
          <w:sz w:val="20"/>
        </w:rPr>
        <w:t xml:space="preserve">V průběhu měsíce prosince 2016 došlo k ukončení nájemního vztahu s uvedeným oprávněným nájemcem a zpětnému předání této bytové jednotky společnosti Domovní správa Prostějov, s.r.o., která zajišťuje správu předmětné jednotky. V současné době se tak jedná o volnou bytovou jednotku. </w:t>
      </w:r>
      <w:r w:rsidRPr="00687976">
        <w:rPr>
          <w:sz w:val="20"/>
        </w:rPr>
        <w:t xml:space="preserve">Z těchto důvodů bylo doporučeno v souladu s podmínkami schválenými Zastupitelstvem města Prostějova dne </w:t>
      </w:r>
      <w:proofErr w:type="gramStart"/>
      <w:r w:rsidRPr="00687976">
        <w:rPr>
          <w:sz w:val="20"/>
        </w:rPr>
        <w:t>15.02.2011</w:t>
      </w:r>
      <w:proofErr w:type="gramEnd"/>
      <w:r w:rsidRPr="00687976">
        <w:rPr>
          <w:sz w:val="20"/>
        </w:rPr>
        <w:t xml:space="preserve"> usnesením č. 10045 zahájit prodej této volné bytové jednotky za kupní cenu minimálně dle aktualizovaného znaleckého posudku, tj. </w:t>
      </w:r>
      <w:r w:rsidRPr="00687976">
        <w:rPr>
          <w:b/>
          <w:sz w:val="20"/>
          <w:u w:val="single"/>
        </w:rPr>
        <w:t>600.000 Kč</w:t>
      </w:r>
      <w:r w:rsidRPr="00687976">
        <w:rPr>
          <w:sz w:val="20"/>
        </w:rPr>
        <w:t>.</w:t>
      </w:r>
    </w:p>
    <w:p w:rsidR="00FB10B0" w:rsidRPr="00687976" w:rsidRDefault="00FB10B0" w:rsidP="00FB10B0">
      <w:pPr>
        <w:autoSpaceDE w:val="0"/>
        <w:autoSpaceDN w:val="0"/>
        <w:adjustRightInd w:val="0"/>
        <w:jc w:val="both"/>
        <w:rPr>
          <w:b/>
          <w:sz w:val="20"/>
        </w:rPr>
      </w:pPr>
    </w:p>
    <w:p w:rsidR="00FB10B0" w:rsidRPr="00687976" w:rsidRDefault="00FB10B0" w:rsidP="00FB10B0">
      <w:pPr>
        <w:pStyle w:val="Zkladntext31"/>
        <w:jc w:val="both"/>
        <w:rPr>
          <w:rFonts w:ascii="Arial" w:hAnsi="Arial" w:cs="Arial"/>
          <w:b w:val="0"/>
        </w:rPr>
      </w:pPr>
      <w:r w:rsidRPr="00687976">
        <w:rPr>
          <w:rFonts w:ascii="Arial" w:hAnsi="Arial" w:cs="Arial"/>
        </w:rPr>
        <w:t>Rada města Prostějova</w:t>
      </w:r>
      <w:r w:rsidRPr="00687976">
        <w:rPr>
          <w:rFonts w:ascii="Arial" w:hAnsi="Arial" w:cs="Arial"/>
          <w:b w:val="0"/>
        </w:rPr>
        <w:t xml:space="preserve"> dne 07.03.2017 usnesením č. 7220</w:t>
      </w:r>
      <w:r w:rsidRPr="00687976">
        <w:rPr>
          <w:rFonts w:ascii="Arial" w:hAnsi="Arial" w:cs="Arial"/>
          <w:b w:val="0"/>
          <w:lang w:val="cs-CZ"/>
        </w:rPr>
        <w:t>:</w:t>
      </w:r>
      <w:r w:rsidRPr="00687976">
        <w:rPr>
          <w:rFonts w:ascii="Arial" w:hAnsi="Arial" w:cs="Arial"/>
          <w:b w:val="0"/>
        </w:rPr>
        <w:t xml:space="preserve"> </w:t>
      </w:r>
    </w:p>
    <w:p w:rsidR="00FB10B0" w:rsidRPr="00687976" w:rsidRDefault="00FB10B0" w:rsidP="00055DA5">
      <w:pPr>
        <w:pStyle w:val="Zkladntext31"/>
        <w:numPr>
          <w:ilvl w:val="0"/>
          <w:numId w:val="13"/>
        </w:numPr>
        <w:ind w:left="284" w:hanging="284"/>
        <w:jc w:val="both"/>
        <w:rPr>
          <w:rFonts w:ascii="Arial" w:hAnsi="Arial" w:cs="Arial"/>
          <w:b w:val="0"/>
        </w:rPr>
      </w:pPr>
      <w:r w:rsidRPr="00687976">
        <w:rPr>
          <w:rFonts w:ascii="Arial" w:hAnsi="Arial" w:cs="Arial"/>
        </w:rPr>
        <w:t>doporučila</w:t>
      </w:r>
      <w:r w:rsidRPr="00687976">
        <w:rPr>
          <w:rFonts w:ascii="Arial" w:hAnsi="Arial" w:cs="Arial"/>
          <w:b w:val="0"/>
        </w:rPr>
        <w:t xml:space="preserve"> Zastupitelstvu města Prostějova revokovat bod 9 usnesení Zastupitelstva města Prostějova č. 10195 ze dne 20.09.2011 týkající se schválení prodeje bytové jednotky č. 1622/15 v objektu na ul. Netušilova 3 v Prostějově  a </w:t>
      </w:r>
    </w:p>
    <w:p w:rsidR="00FB10B0" w:rsidRPr="00687976" w:rsidRDefault="00FB10B0" w:rsidP="00055DA5">
      <w:pPr>
        <w:pStyle w:val="Zkladntext31"/>
        <w:numPr>
          <w:ilvl w:val="0"/>
          <w:numId w:val="13"/>
        </w:numPr>
        <w:ind w:left="284" w:hanging="284"/>
        <w:jc w:val="both"/>
        <w:rPr>
          <w:rFonts w:ascii="Arial" w:hAnsi="Arial" w:cs="Arial"/>
          <w:b w:val="0"/>
        </w:rPr>
      </w:pPr>
      <w:r w:rsidRPr="00687976">
        <w:rPr>
          <w:rFonts w:ascii="Arial" w:hAnsi="Arial" w:cs="Arial"/>
        </w:rPr>
        <w:t xml:space="preserve">vyhlásila </w:t>
      </w:r>
      <w:r w:rsidRPr="00687976">
        <w:rPr>
          <w:rFonts w:ascii="Arial" w:hAnsi="Arial" w:cs="Arial"/>
          <w:b w:val="0"/>
          <w:bCs/>
        </w:rPr>
        <w:t xml:space="preserve">záměr prodeje jednotky </w:t>
      </w:r>
      <w:r w:rsidRPr="00687976">
        <w:rPr>
          <w:rFonts w:ascii="Arial" w:hAnsi="Arial" w:cs="Arial"/>
          <w:b w:val="0"/>
        </w:rPr>
        <w:t xml:space="preserve">č. 1622/15 o výměře </w:t>
      </w:r>
      <w:smartTag w:uri="urn:schemas-microsoft-com:office:smarttags" w:element="metricconverter">
        <w:smartTagPr>
          <w:attr w:name="ProductID" w:val="42,93 m2"/>
        </w:smartTagPr>
        <w:r w:rsidRPr="00687976">
          <w:rPr>
            <w:rFonts w:ascii="Arial" w:hAnsi="Arial" w:cs="Arial"/>
            <w:b w:val="0"/>
          </w:rPr>
          <w:t>42,93 m</w:t>
        </w:r>
        <w:r w:rsidRPr="00687976">
          <w:rPr>
            <w:rFonts w:ascii="Arial" w:hAnsi="Arial" w:cs="Arial"/>
            <w:b w:val="0"/>
            <w:vertAlign w:val="superscript"/>
          </w:rPr>
          <w:t>2</w:t>
        </w:r>
      </w:smartTag>
      <w:r w:rsidRPr="00687976">
        <w:rPr>
          <w:rFonts w:ascii="Arial" w:hAnsi="Arial" w:cs="Arial"/>
          <w:b w:val="0"/>
          <w:vertAlign w:val="superscript"/>
        </w:rPr>
        <w:t xml:space="preserve"> </w:t>
      </w:r>
      <w:r w:rsidRPr="00687976">
        <w:rPr>
          <w:rFonts w:ascii="Arial" w:hAnsi="Arial" w:cs="Arial"/>
          <w:b w:val="0"/>
        </w:rPr>
        <w:t xml:space="preserve">spolu se spoluvlastnickým podílem o velikosti 43/2261 na společných částech bytového domu č.p. 1622 na pozemku </w:t>
      </w:r>
      <w:proofErr w:type="spellStart"/>
      <w:r w:rsidRPr="00687976">
        <w:rPr>
          <w:rFonts w:ascii="Arial" w:hAnsi="Arial" w:cs="Arial"/>
          <w:b w:val="0"/>
        </w:rPr>
        <w:t>p.č</w:t>
      </w:r>
      <w:proofErr w:type="spellEnd"/>
      <w:r w:rsidRPr="00687976">
        <w:rPr>
          <w:rFonts w:ascii="Arial" w:hAnsi="Arial" w:cs="Arial"/>
          <w:b w:val="0"/>
        </w:rPr>
        <w:t xml:space="preserve">. 2932, pozemku </w:t>
      </w:r>
      <w:proofErr w:type="spellStart"/>
      <w:r w:rsidRPr="00687976">
        <w:rPr>
          <w:rFonts w:ascii="Arial" w:hAnsi="Arial" w:cs="Arial"/>
          <w:b w:val="0"/>
        </w:rPr>
        <w:t>p.č</w:t>
      </w:r>
      <w:proofErr w:type="spellEnd"/>
      <w:r w:rsidRPr="00687976">
        <w:rPr>
          <w:rFonts w:ascii="Arial" w:hAnsi="Arial" w:cs="Arial"/>
          <w:b w:val="0"/>
        </w:rPr>
        <w:t xml:space="preserve">. 2932 - zastavěná plocha a nádvoří, o výměře </w:t>
      </w:r>
      <w:smartTag w:uri="urn:schemas-microsoft-com:office:smarttags" w:element="metricconverter">
        <w:smartTagPr>
          <w:attr w:name="ProductID" w:val="576 m2"/>
        </w:smartTagPr>
        <w:r w:rsidRPr="00687976">
          <w:rPr>
            <w:rFonts w:ascii="Arial" w:hAnsi="Arial" w:cs="Arial"/>
            <w:b w:val="0"/>
          </w:rPr>
          <w:t>576 m</w:t>
        </w:r>
        <w:r w:rsidRPr="00687976">
          <w:rPr>
            <w:rFonts w:ascii="Arial" w:hAnsi="Arial" w:cs="Arial"/>
            <w:b w:val="0"/>
            <w:vertAlign w:val="superscript"/>
          </w:rPr>
          <w:t>2</w:t>
        </w:r>
      </w:smartTag>
      <w:r w:rsidRPr="00687976">
        <w:rPr>
          <w:rFonts w:ascii="Arial" w:hAnsi="Arial" w:cs="Arial"/>
          <w:b w:val="0"/>
        </w:rPr>
        <w:t xml:space="preserve"> a pozemku </w:t>
      </w:r>
      <w:proofErr w:type="spellStart"/>
      <w:r w:rsidRPr="00687976">
        <w:rPr>
          <w:rFonts w:ascii="Arial" w:hAnsi="Arial" w:cs="Arial"/>
          <w:b w:val="0"/>
        </w:rPr>
        <w:t>p.č</w:t>
      </w:r>
      <w:proofErr w:type="spellEnd"/>
      <w:r w:rsidRPr="00687976">
        <w:rPr>
          <w:rFonts w:ascii="Arial" w:hAnsi="Arial" w:cs="Arial"/>
          <w:b w:val="0"/>
        </w:rPr>
        <w:t xml:space="preserve">. 2935/1 - ostatní plocha o výměře </w:t>
      </w:r>
      <w:smartTag w:uri="urn:schemas-microsoft-com:office:smarttags" w:element="metricconverter">
        <w:smartTagPr>
          <w:attr w:name="ProductID" w:val="136 m2"/>
        </w:smartTagPr>
        <w:r w:rsidRPr="00687976">
          <w:rPr>
            <w:rFonts w:ascii="Arial" w:hAnsi="Arial" w:cs="Arial"/>
            <w:b w:val="0"/>
          </w:rPr>
          <w:t>136 m</w:t>
        </w:r>
        <w:r w:rsidRPr="00687976">
          <w:rPr>
            <w:rFonts w:ascii="Arial" w:hAnsi="Arial" w:cs="Arial"/>
            <w:b w:val="0"/>
            <w:vertAlign w:val="superscript"/>
          </w:rPr>
          <w:t>2</w:t>
        </w:r>
      </w:smartTag>
      <w:r w:rsidRPr="00687976">
        <w:rPr>
          <w:rFonts w:ascii="Arial" w:hAnsi="Arial" w:cs="Arial"/>
          <w:b w:val="0"/>
        </w:rPr>
        <w:t xml:space="preserve">, vše v </w:t>
      </w:r>
      <w:proofErr w:type="spellStart"/>
      <w:r w:rsidRPr="00687976">
        <w:rPr>
          <w:rFonts w:ascii="Arial" w:hAnsi="Arial" w:cs="Arial"/>
          <w:b w:val="0"/>
        </w:rPr>
        <w:t>k.ú</w:t>
      </w:r>
      <w:proofErr w:type="spellEnd"/>
      <w:r w:rsidRPr="00687976">
        <w:rPr>
          <w:rFonts w:ascii="Arial" w:hAnsi="Arial" w:cs="Arial"/>
          <w:b w:val="0"/>
        </w:rPr>
        <w:t xml:space="preserve">. Prostějov, </w:t>
      </w:r>
      <w:r w:rsidRPr="00687976">
        <w:rPr>
          <w:rFonts w:ascii="Arial" w:hAnsi="Arial" w:cs="Arial"/>
          <w:b w:val="0"/>
          <w:bCs/>
        </w:rPr>
        <w:t xml:space="preserve">formou obálkové metody za nabídnutou kupní cenu, minimálně však za cenu </w:t>
      </w:r>
      <w:r w:rsidRPr="00687976">
        <w:rPr>
          <w:rFonts w:ascii="Arial" w:hAnsi="Arial" w:cs="Arial"/>
          <w:b w:val="0"/>
        </w:rPr>
        <w:t xml:space="preserve">ve výši dle znaleckého posudku (cena obvyklá), tj. minimálně </w:t>
      </w:r>
      <w:r w:rsidRPr="00687976">
        <w:rPr>
          <w:rFonts w:ascii="Arial" w:hAnsi="Arial" w:cs="Arial"/>
          <w:b w:val="0"/>
        </w:rPr>
        <w:lastRenderedPageBreak/>
        <w:t>ve výši 600.000 Kč, která bude zaplacena před podpisem kupní smlouvy, přičemž náklady na zpracování znaleckého posudku a správní poplatek spojený s podáním návrhu na povolení vkladu vlastnického práva do katastru nemovitostí uhradí kupující. Při prodeji předmětného majetku bude uplatněn postup dle Směrnice č. 4/2013, kterou se upravuje systém aplikace kaucí při prodeji majetku Statutárního města Prostějova; kauce bude činit 60.000 Kč.</w:t>
      </w:r>
    </w:p>
    <w:p w:rsidR="00FB10B0" w:rsidRPr="00687976" w:rsidRDefault="00FB10B0" w:rsidP="00FB10B0">
      <w:pPr>
        <w:pStyle w:val="Zkladntext31"/>
        <w:jc w:val="both"/>
        <w:rPr>
          <w:b w:val="0"/>
        </w:rPr>
      </w:pPr>
    </w:p>
    <w:p w:rsidR="00FB10B0" w:rsidRPr="00687976" w:rsidRDefault="00FB10B0" w:rsidP="00FB10B0">
      <w:pPr>
        <w:pStyle w:val="Zkladntext31"/>
        <w:jc w:val="both"/>
        <w:rPr>
          <w:rFonts w:ascii="Arial" w:hAnsi="Arial" w:cs="Arial"/>
          <w:b w:val="0"/>
        </w:rPr>
      </w:pPr>
      <w:r w:rsidRPr="00687976">
        <w:rPr>
          <w:rFonts w:ascii="Arial" w:hAnsi="Arial" w:cs="Arial"/>
          <w:b w:val="0"/>
        </w:rPr>
        <w:t xml:space="preserve">Záměr prodeje předmětné bytové jednotky byl v době od 15.03.2017 do 02.05.2017 v souladu s ustanovením § 39 zákona č. 128/2000 Sb., o obcích (obecní zřízení), ve znění pozdějších předpisů, zveřejněn vyvěšením na úřední desce Magistrátu města Prostějova a způsobem umožňujícím dálkový přístup. Zájemci mohli podat nabídky k tomuto záměru v písemně formě osobně nebo doporučeně poštou v uzavřené obálce do 28.04.2017 14,00 hod. </w:t>
      </w:r>
    </w:p>
    <w:p w:rsidR="00FB10B0" w:rsidRPr="00687976" w:rsidRDefault="00FB10B0" w:rsidP="00FB10B0">
      <w:pPr>
        <w:jc w:val="both"/>
        <w:rPr>
          <w:rFonts w:cs="Arial"/>
          <w:b/>
          <w:sz w:val="20"/>
        </w:rPr>
      </w:pPr>
      <w:r w:rsidRPr="00687976">
        <w:rPr>
          <w:rFonts w:cs="Arial"/>
          <w:b/>
          <w:sz w:val="20"/>
        </w:rPr>
        <w:t>Ve stanoveném termínu bylo přijato celkem 10 nabídek, a to nabídky:</w:t>
      </w:r>
    </w:p>
    <w:p w:rsidR="00FB10B0" w:rsidRPr="00687976" w:rsidRDefault="007C7F8F" w:rsidP="00055DA5">
      <w:pPr>
        <w:numPr>
          <w:ilvl w:val="0"/>
          <w:numId w:val="7"/>
        </w:numPr>
        <w:ind w:left="426" w:hanging="426"/>
        <w:jc w:val="both"/>
        <w:rPr>
          <w:rFonts w:cs="Arial"/>
          <w:b/>
          <w:sz w:val="20"/>
        </w:rPr>
      </w:pPr>
      <w:r>
        <w:rPr>
          <w:rFonts w:cs="Arial"/>
          <w:b/>
          <w:sz w:val="20"/>
        </w:rPr>
        <w:t>zájemce č. 8</w:t>
      </w:r>
      <w:r w:rsidR="00FB10B0" w:rsidRPr="00687976">
        <w:rPr>
          <w:rFonts w:cs="Arial"/>
          <w:b/>
          <w:sz w:val="20"/>
        </w:rPr>
        <w:t>, kte</w:t>
      </w:r>
      <w:r>
        <w:rPr>
          <w:rFonts w:cs="Arial"/>
          <w:b/>
          <w:sz w:val="20"/>
        </w:rPr>
        <w:t>rý</w:t>
      </w:r>
      <w:r w:rsidR="00FB10B0" w:rsidRPr="00687976">
        <w:rPr>
          <w:rFonts w:cs="Arial"/>
          <w:b/>
          <w:sz w:val="20"/>
        </w:rPr>
        <w:t xml:space="preserve"> nabídl kupní cenu ve výši 723.565 Kč, </w:t>
      </w:r>
    </w:p>
    <w:p w:rsidR="00FB10B0" w:rsidRPr="00687976" w:rsidRDefault="007C7F8F" w:rsidP="00055DA5">
      <w:pPr>
        <w:numPr>
          <w:ilvl w:val="0"/>
          <w:numId w:val="7"/>
        </w:numPr>
        <w:ind w:left="426" w:hanging="426"/>
        <w:jc w:val="both"/>
        <w:rPr>
          <w:rFonts w:cs="Arial"/>
          <w:b/>
          <w:sz w:val="20"/>
        </w:rPr>
      </w:pPr>
      <w:r>
        <w:rPr>
          <w:rFonts w:cs="Arial"/>
          <w:b/>
          <w:sz w:val="20"/>
        </w:rPr>
        <w:t>zájemce č. 10, který na</w:t>
      </w:r>
      <w:r w:rsidR="00FB10B0" w:rsidRPr="00687976">
        <w:rPr>
          <w:rFonts w:cs="Arial"/>
          <w:b/>
          <w:sz w:val="20"/>
        </w:rPr>
        <w:t>bídl kupní cenu ve výši 701.009 Kč,</w:t>
      </w:r>
    </w:p>
    <w:p w:rsidR="00FB10B0" w:rsidRPr="00687976" w:rsidRDefault="007C7F8F" w:rsidP="00055DA5">
      <w:pPr>
        <w:numPr>
          <w:ilvl w:val="0"/>
          <w:numId w:val="7"/>
        </w:numPr>
        <w:ind w:left="426" w:hanging="426"/>
        <w:jc w:val="both"/>
        <w:rPr>
          <w:rFonts w:cs="Arial"/>
          <w:b/>
          <w:sz w:val="20"/>
        </w:rPr>
      </w:pPr>
      <w:r>
        <w:rPr>
          <w:rFonts w:cs="Arial"/>
          <w:b/>
          <w:sz w:val="20"/>
        </w:rPr>
        <w:t>zájemce č. 1,</w:t>
      </w:r>
      <w:r w:rsidR="00FB10B0" w:rsidRPr="00687976">
        <w:rPr>
          <w:rFonts w:cs="Arial"/>
          <w:b/>
          <w:sz w:val="20"/>
        </w:rPr>
        <w:t xml:space="preserve"> který nabídl kupní cenu ve výši 909.000 Kč,</w:t>
      </w:r>
    </w:p>
    <w:p w:rsidR="00FB10B0" w:rsidRPr="00687976" w:rsidRDefault="00FF2060" w:rsidP="00055DA5">
      <w:pPr>
        <w:numPr>
          <w:ilvl w:val="0"/>
          <w:numId w:val="7"/>
        </w:numPr>
        <w:ind w:left="426" w:hanging="426"/>
        <w:jc w:val="both"/>
        <w:rPr>
          <w:rFonts w:cs="Arial"/>
          <w:b/>
          <w:sz w:val="20"/>
        </w:rPr>
      </w:pPr>
      <w:r>
        <w:rPr>
          <w:rFonts w:cs="Arial"/>
          <w:b/>
          <w:sz w:val="20"/>
        </w:rPr>
        <w:t xml:space="preserve">zájemce č. 5, který </w:t>
      </w:r>
      <w:r w:rsidR="00FB10B0" w:rsidRPr="00687976">
        <w:rPr>
          <w:rFonts w:cs="Arial"/>
          <w:b/>
          <w:sz w:val="20"/>
        </w:rPr>
        <w:t>nabídl kupní cenu ve výši 790.000 Kč,</w:t>
      </w:r>
    </w:p>
    <w:p w:rsidR="00FB10B0" w:rsidRPr="00687976" w:rsidRDefault="00FF2060" w:rsidP="00055DA5">
      <w:pPr>
        <w:numPr>
          <w:ilvl w:val="0"/>
          <w:numId w:val="7"/>
        </w:numPr>
        <w:ind w:left="426" w:hanging="426"/>
        <w:jc w:val="both"/>
        <w:rPr>
          <w:rFonts w:cs="Arial"/>
          <w:b/>
          <w:sz w:val="20"/>
        </w:rPr>
      </w:pPr>
      <w:r>
        <w:rPr>
          <w:rFonts w:cs="Arial"/>
          <w:b/>
          <w:sz w:val="20"/>
        </w:rPr>
        <w:t xml:space="preserve">zájemce č. 9, </w:t>
      </w:r>
      <w:r w:rsidR="00FB10B0" w:rsidRPr="00687976">
        <w:rPr>
          <w:rFonts w:cs="Arial"/>
          <w:b/>
          <w:sz w:val="20"/>
        </w:rPr>
        <w:t>který nabídl kupní cenu ve výši 710.000 Kč,</w:t>
      </w:r>
    </w:p>
    <w:p w:rsidR="00FB10B0" w:rsidRPr="00687976" w:rsidRDefault="00FF2060" w:rsidP="00055DA5">
      <w:pPr>
        <w:numPr>
          <w:ilvl w:val="0"/>
          <w:numId w:val="7"/>
        </w:numPr>
        <w:ind w:left="426" w:hanging="426"/>
        <w:jc w:val="both"/>
        <w:rPr>
          <w:rFonts w:cs="Arial"/>
          <w:b/>
          <w:sz w:val="20"/>
        </w:rPr>
      </w:pPr>
      <w:r>
        <w:rPr>
          <w:rFonts w:cs="Arial"/>
          <w:b/>
          <w:sz w:val="20"/>
        </w:rPr>
        <w:t>zájemce č. 4</w:t>
      </w:r>
      <w:r w:rsidR="00FB10B0" w:rsidRPr="00687976">
        <w:rPr>
          <w:rFonts w:cs="Arial"/>
          <w:b/>
          <w:sz w:val="20"/>
        </w:rPr>
        <w:t>,</w:t>
      </w:r>
      <w:r>
        <w:rPr>
          <w:rFonts w:cs="Arial"/>
          <w:b/>
          <w:sz w:val="20"/>
        </w:rPr>
        <w:t xml:space="preserve"> </w:t>
      </w:r>
      <w:r w:rsidR="00FB10B0" w:rsidRPr="00687976">
        <w:rPr>
          <w:rFonts w:cs="Arial"/>
          <w:b/>
          <w:sz w:val="20"/>
        </w:rPr>
        <w:t>kte</w:t>
      </w:r>
      <w:r>
        <w:rPr>
          <w:rFonts w:cs="Arial"/>
          <w:b/>
          <w:sz w:val="20"/>
        </w:rPr>
        <w:t xml:space="preserve">rý </w:t>
      </w:r>
      <w:r w:rsidR="00FB10B0" w:rsidRPr="00687976">
        <w:rPr>
          <w:rFonts w:cs="Arial"/>
          <w:b/>
          <w:sz w:val="20"/>
        </w:rPr>
        <w:t>nabídl kupní cenu ve výši 805.000 Kč a m</w:t>
      </w:r>
      <w:r>
        <w:rPr>
          <w:rFonts w:cs="Arial"/>
          <w:b/>
          <w:sz w:val="20"/>
        </w:rPr>
        <w:t>á</w:t>
      </w:r>
      <w:r w:rsidR="00FB10B0" w:rsidRPr="00687976">
        <w:rPr>
          <w:rFonts w:cs="Arial"/>
          <w:b/>
          <w:sz w:val="20"/>
        </w:rPr>
        <w:t xml:space="preserve"> zájem o koupi bytové jednotky do spoluvlastnictví (každý podíl o velikosti 1/2),</w:t>
      </w:r>
    </w:p>
    <w:p w:rsidR="00FB10B0" w:rsidRPr="00687976" w:rsidRDefault="00FF2060" w:rsidP="00055DA5">
      <w:pPr>
        <w:numPr>
          <w:ilvl w:val="0"/>
          <w:numId w:val="7"/>
        </w:numPr>
        <w:ind w:left="426" w:hanging="426"/>
        <w:jc w:val="both"/>
        <w:rPr>
          <w:rFonts w:cs="Arial"/>
          <w:b/>
          <w:sz w:val="20"/>
        </w:rPr>
      </w:pPr>
      <w:r>
        <w:rPr>
          <w:rFonts w:cs="Arial"/>
          <w:b/>
          <w:sz w:val="20"/>
        </w:rPr>
        <w:t>zájemce č. 7</w:t>
      </w:r>
      <w:r w:rsidR="00FB10B0" w:rsidRPr="00687976">
        <w:rPr>
          <w:rFonts w:cs="Arial"/>
          <w:b/>
          <w:sz w:val="20"/>
        </w:rPr>
        <w:t>, který nabídl kupní cenu ve výši 750.000 Kč,</w:t>
      </w:r>
    </w:p>
    <w:p w:rsidR="00FB10B0" w:rsidRPr="00687976" w:rsidRDefault="00FF2060" w:rsidP="00055DA5">
      <w:pPr>
        <w:numPr>
          <w:ilvl w:val="0"/>
          <w:numId w:val="7"/>
        </w:numPr>
        <w:ind w:left="426" w:hanging="426"/>
        <w:jc w:val="both"/>
        <w:rPr>
          <w:rFonts w:cs="Arial"/>
          <w:b/>
          <w:sz w:val="20"/>
        </w:rPr>
      </w:pPr>
      <w:r>
        <w:rPr>
          <w:rFonts w:cs="Arial"/>
          <w:b/>
          <w:sz w:val="20"/>
        </w:rPr>
        <w:t>zájemce č. 2</w:t>
      </w:r>
      <w:r w:rsidR="00FB10B0" w:rsidRPr="00687976">
        <w:rPr>
          <w:rFonts w:cs="Arial"/>
          <w:b/>
          <w:sz w:val="20"/>
        </w:rPr>
        <w:t>, který nabídl kupní cenu ve výši 860.000 Kč,</w:t>
      </w:r>
    </w:p>
    <w:p w:rsidR="00FB10B0" w:rsidRPr="00687976" w:rsidRDefault="00FF2060" w:rsidP="00055DA5">
      <w:pPr>
        <w:numPr>
          <w:ilvl w:val="0"/>
          <w:numId w:val="7"/>
        </w:numPr>
        <w:ind w:left="426" w:hanging="426"/>
        <w:jc w:val="both"/>
        <w:rPr>
          <w:rFonts w:cs="Arial"/>
          <w:b/>
          <w:sz w:val="20"/>
        </w:rPr>
      </w:pPr>
      <w:r>
        <w:rPr>
          <w:rFonts w:cs="Arial"/>
          <w:b/>
          <w:sz w:val="20"/>
        </w:rPr>
        <w:t>zájemce č. 6, který</w:t>
      </w:r>
      <w:r w:rsidR="00FB10B0" w:rsidRPr="00687976">
        <w:rPr>
          <w:rFonts w:cs="Arial"/>
          <w:b/>
          <w:sz w:val="20"/>
        </w:rPr>
        <w:t xml:space="preserve"> nabídl kupní cenu ve výši 780.000 Kč,</w:t>
      </w:r>
    </w:p>
    <w:p w:rsidR="00FB10B0" w:rsidRPr="00687976" w:rsidRDefault="00FF2060" w:rsidP="00055DA5">
      <w:pPr>
        <w:numPr>
          <w:ilvl w:val="0"/>
          <w:numId w:val="7"/>
        </w:numPr>
        <w:ind w:left="426" w:hanging="426"/>
        <w:jc w:val="both"/>
        <w:rPr>
          <w:rFonts w:cs="Arial"/>
          <w:b/>
          <w:sz w:val="20"/>
        </w:rPr>
      </w:pPr>
      <w:r>
        <w:rPr>
          <w:rFonts w:cs="Arial"/>
          <w:b/>
          <w:sz w:val="20"/>
        </w:rPr>
        <w:t>zájemce č. 3, kt</w:t>
      </w:r>
      <w:r w:rsidR="00FB10B0" w:rsidRPr="00687976">
        <w:rPr>
          <w:rFonts w:cs="Arial"/>
          <w:b/>
          <w:sz w:val="20"/>
        </w:rPr>
        <w:t xml:space="preserve">erý nabídl kupní cenu ve výši 827.750 Kč. </w:t>
      </w:r>
    </w:p>
    <w:p w:rsidR="00FB10B0" w:rsidRPr="00687976" w:rsidRDefault="00FB10B0" w:rsidP="00FB10B0">
      <w:pPr>
        <w:jc w:val="both"/>
        <w:rPr>
          <w:rFonts w:cs="Arial"/>
          <w:b/>
          <w:sz w:val="20"/>
        </w:rPr>
      </w:pPr>
      <w:r w:rsidRPr="00687976">
        <w:rPr>
          <w:rFonts w:cs="Arial"/>
          <w:b/>
          <w:sz w:val="20"/>
        </w:rPr>
        <w:t>Všichni zájemci před podáním svých nabídek zaplatili požadovanou kauci ve výši 60.000 Kč.</w:t>
      </w:r>
    </w:p>
    <w:p w:rsidR="00FB10B0" w:rsidRPr="00687976" w:rsidRDefault="00FB10B0" w:rsidP="00FB10B0">
      <w:pPr>
        <w:jc w:val="both"/>
        <w:rPr>
          <w:rFonts w:cs="Arial"/>
          <w:b/>
          <w:sz w:val="20"/>
        </w:rPr>
      </w:pPr>
      <w:r w:rsidRPr="00687976">
        <w:rPr>
          <w:rFonts w:cs="Arial"/>
          <w:b/>
          <w:sz w:val="20"/>
        </w:rPr>
        <w:t xml:space="preserve">Protokol o otevírání obálek s nabídkami ze dne </w:t>
      </w:r>
      <w:proofErr w:type="gramStart"/>
      <w:r w:rsidRPr="00687976">
        <w:rPr>
          <w:rFonts w:cs="Arial"/>
          <w:b/>
          <w:sz w:val="20"/>
        </w:rPr>
        <w:t>02.05.2017</w:t>
      </w:r>
      <w:proofErr w:type="gramEnd"/>
      <w:r w:rsidRPr="00687976">
        <w:rPr>
          <w:rFonts w:cs="Arial"/>
          <w:b/>
          <w:sz w:val="20"/>
        </w:rPr>
        <w:t xml:space="preserve"> tvoří přílohu tohoto materiálu.</w:t>
      </w:r>
    </w:p>
    <w:p w:rsidR="00FB10B0" w:rsidRPr="00687976" w:rsidRDefault="00FB10B0" w:rsidP="00FB10B0">
      <w:pPr>
        <w:jc w:val="both"/>
        <w:rPr>
          <w:rFonts w:cs="Arial"/>
          <w:sz w:val="20"/>
        </w:rPr>
      </w:pPr>
    </w:p>
    <w:p w:rsidR="00FB10B0" w:rsidRPr="00687976" w:rsidRDefault="00FB10B0" w:rsidP="00FB10B0">
      <w:pPr>
        <w:jc w:val="both"/>
        <w:rPr>
          <w:rFonts w:cs="Arial"/>
          <w:bCs/>
          <w:sz w:val="20"/>
        </w:rPr>
      </w:pPr>
      <w:r w:rsidRPr="00687976">
        <w:rPr>
          <w:b/>
          <w:sz w:val="20"/>
        </w:rPr>
        <w:t xml:space="preserve">Rada města Prostějova </w:t>
      </w:r>
      <w:r w:rsidRPr="00687976">
        <w:rPr>
          <w:sz w:val="20"/>
        </w:rPr>
        <w:t>dne 09.05.2017 usnesením č. 7442</w:t>
      </w:r>
      <w:r w:rsidRPr="00687976">
        <w:rPr>
          <w:b/>
          <w:sz w:val="20"/>
        </w:rPr>
        <w:t xml:space="preserve"> doporučila </w:t>
      </w:r>
      <w:r w:rsidRPr="00687976">
        <w:rPr>
          <w:rFonts w:cs="Arial"/>
          <w:bCs/>
          <w:sz w:val="20"/>
        </w:rPr>
        <w:t xml:space="preserve">Zastupitelstvu města Prostějova schválit prodej jednotky </w:t>
      </w:r>
      <w:r w:rsidRPr="00687976">
        <w:rPr>
          <w:rFonts w:cs="Arial"/>
          <w:sz w:val="20"/>
        </w:rPr>
        <w:t>č. 1622/15 o výměře 42,93 m</w:t>
      </w:r>
      <w:r w:rsidRPr="00687976">
        <w:rPr>
          <w:rFonts w:cs="Arial"/>
          <w:sz w:val="20"/>
          <w:vertAlign w:val="superscript"/>
        </w:rPr>
        <w:t xml:space="preserve">2 </w:t>
      </w:r>
      <w:r w:rsidRPr="00687976">
        <w:rPr>
          <w:rFonts w:cs="Arial"/>
          <w:sz w:val="20"/>
        </w:rPr>
        <w:t xml:space="preserve">spolu se spoluvlastnickým podílem o velikosti 43/2261 na společných částech bytového domu </w:t>
      </w:r>
      <w:proofErr w:type="gramStart"/>
      <w:r w:rsidRPr="00687976">
        <w:rPr>
          <w:rFonts w:cs="Arial"/>
          <w:sz w:val="20"/>
        </w:rPr>
        <w:t>č.p.</w:t>
      </w:r>
      <w:proofErr w:type="gramEnd"/>
      <w:r w:rsidRPr="00687976">
        <w:rPr>
          <w:rFonts w:cs="Arial"/>
          <w:sz w:val="20"/>
        </w:rPr>
        <w:t xml:space="preserve"> 1622 na pozemku </w:t>
      </w:r>
      <w:proofErr w:type="spellStart"/>
      <w:r w:rsidRPr="00687976">
        <w:rPr>
          <w:rFonts w:cs="Arial"/>
          <w:sz w:val="20"/>
        </w:rPr>
        <w:t>p.č</w:t>
      </w:r>
      <w:proofErr w:type="spellEnd"/>
      <w:r w:rsidRPr="00687976">
        <w:rPr>
          <w:rFonts w:cs="Arial"/>
          <w:sz w:val="20"/>
        </w:rPr>
        <w:t xml:space="preserve">. 2932, pozemku </w:t>
      </w:r>
      <w:proofErr w:type="spellStart"/>
      <w:r w:rsidRPr="00687976">
        <w:rPr>
          <w:rFonts w:cs="Arial"/>
          <w:sz w:val="20"/>
        </w:rPr>
        <w:t>p.č</w:t>
      </w:r>
      <w:proofErr w:type="spellEnd"/>
      <w:r w:rsidRPr="00687976">
        <w:rPr>
          <w:rFonts w:cs="Arial"/>
          <w:sz w:val="20"/>
        </w:rPr>
        <w:t>. 2932 - zastavěná plocha a nádvoří, o výměře 576 m</w:t>
      </w:r>
      <w:r w:rsidRPr="00687976">
        <w:rPr>
          <w:rFonts w:cs="Arial"/>
          <w:sz w:val="20"/>
          <w:vertAlign w:val="superscript"/>
        </w:rPr>
        <w:t>2</w:t>
      </w:r>
      <w:r w:rsidRPr="00687976">
        <w:rPr>
          <w:rFonts w:cs="Arial"/>
          <w:sz w:val="20"/>
        </w:rPr>
        <w:t xml:space="preserve"> a pozemku </w:t>
      </w:r>
      <w:proofErr w:type="spellStart"/>
      <w:r w:rsidRPr="00687976">
        <w:rPr>
          <w:rFonts w:cs="Arial"/>
          <w:sz w:val="20"/>
        </w:rPr>
        <w:t>p.č</w:t>
      </w:r>
      <w:proofErr w:type="spellEnd"/>
      <w:r w:rsidRPr="00687976">
        <w:rPr>
          <w:rFonts w:cs="Arial"/>
          <w:sz w:val="20"/>
        </w:rPr>
        <w:t>. 2935/1 - ostatní plocha o výměře 136 m</w:t>
      </w:r>
      <w:r w:rsidRPr="00687976">
        <w:rPr>
          <w:rFonts w:cs="Arial"/>
          <w:sz w:val="20"/>
          <w:vertAlign w:val="superscript"/>
        </w:rPr>
        <w:t>2</w:t>
      </w:r>
      <w:r w:rsidRPr="00687976">
        <w:rPr>
          <w:rFonts w:cs="Arial"/>
          <w:sz w:val="20"/>
        </w:rPr>
        <w:t xml:space="preserve">, vše v </w:t>
      </w:r>
      <w:proofErr w:type="spellStart"/>
      <w:r w:rsidRPr="00687976">
        <w:rPr>
          <w:rFonts w:cs="Arial"/>
          <w:sz w:val="20"/>
        </w:rPr>
        <w:t>k.ú</w:t>
      </w:r>
      <w:proofErr w:type="spellEnd"/>
      <w:r w:rsidRPr="00687976">
        <w:rPr>
          <w:rFonts w:cs="Arial"/>
          <w:sz w:val="20"/>
        </w:rPr>
        <w:t xml:space="preserve">. Prostějov, </w:t>
      </w:r>
      <w:r w:rsidRPr="00687976">
        <w:rPr>
          <w:rFonts w:cs="Arial"/>
          <w:bCs/>
          <w:sz w:val="20"/>
        </w:rPr>
        <w:t>za následujících podmínek:</w:t>
      </w:r>
    </w:p>
    <w:p w:rsidR="00FB10B0" w:rsidRPr="00687976" w:rsidRDefault="00FB10B0" w:rsidP="00055DA5">
      <w:pPr>
        <w:pStyle w:val="Zkladntext31"/>
        <w:numPr>
          <w:ilvl w:val="0"/>
          <w:numId w:val="14"/>
        </w:numPr>
        <w:ind w:left="284" w:hanging="284"/>
        <w:jc w:val="both"/>
        <w:rPr>
          <w:rFonts w:ascii="Arial" w:hAnsi="Arial" w:cs="Arial"/>
          <w:b w:val="0"/>
        </w:rPr>
      </w:pPr>
      <w:r w:rsidRPr="00687976">
        <w:rPr>
          <w:rFonts w:ascii="Arial" w:hAnsi="Arial" w:cs="Arial"/>
          <w:b w:val="0"/>
        </w:rPr>
        <w:t xml:space="preserve">kupní cena bude zaplacena před podpisem kupní smlouvy, </w:t>
      </w:r>
    </w:p>
    <w:p w:rsidR="00FB10B0" w:rsidRPr="00687976" w:rsidRDefault="00FB10B0" w:rsidP="00055DA5">
      <w:pPr>
        <w:pStyle w:val="Zkladntext31"/>
        <w:numPr>
          <w:ilvl w:val="0"/>
          <w:numId w:val="14"/>
        </w:numPr>
        <w:ind w:left="284" w:hanging="284"/>
        <w:jc w:val="both"/>
        <w:rPr>
          <w:rFonts w:ascii="Arial" w:hAnsi="Arial" w:cs="Arial"/>
          <w:b w:val="0"/>
        </w:rPr>
      </w:pPr>
      <w:r w:rsidRPr="00687976">
        <w:rPr>
          <w:rFonts w:ascii="Arial" w:hAnsi="Arial" w:cs="Arial"/>
          <w:b w:val="0"/>
        </w:rPr>
        <w:t>náklady na zpracování znaleckého posudku a správní poplatek spojený s podáním návrhu na povolení vkladu vlastnického práva do katastru nemovitostí uhradí kupující,</w:t>
      </w:r>
    </w:p>
    <w:p w:rsidR="00FB10B0" w:rsidRPr="00687976" w:rsidRDefault="00FB10B0" w:rsidP="00055DA5">
      <w:pPr>
        <w:pStyle w:val="Zkladntext31"/>
        <w:numPr>
          <w:ilvl w:val="0"/>
          <w:numId w:val="14"/>
        </w:numPr>
        <w:ind w:left="284" w:hanging="284"/>
        <w:jc w:val="both"/>
        <w:rPr>
          <w:rFonts w:ascii="Arial" w:hAnsi="Arial" w:cs="Arial"/>
          <w:b w:val="0"/>
        </w:rPr>
      </w:pPr>
      <w:r w:rsidRPr="00687976">
        <w:rPr>
          <w:rFonts w:ascii="Arial" w:hAnsi="Arial" w:cs="Arial"/>
          <w:b w:val="0"/>
        </w:rPr>
        <w:t>při prodeji předmětného majetku bude uplatněn postup dle Směrnice č. 4/2013, kterou se upravuje systém aplikace kaucí při prodeji majetku Statutárního města Prostějova,</w:t>
      </w:r>
    </w:p>
    <w:p w:rsidR="00FB10B0" w:rsidRPr="00687976" w:rsidRDefault="00FB10B0" w:rsidP="00FB10B0">
      <w:pPr>
        <w:pStyle w:val="Zkladntext31"/>
        <w:jc w:val="both"/>
        <w:rPr>
          <w:rFonts w:ascii="Arial" w:hAnsi="Arial" w:cs="Arial"/>
          <w:b w:val="0"/>
        </w:rPr>
      </w:pPr>
      <w:r w:rsidRPr="00687976">
        <w:rPr>
          <w:rFonts w:ascii="Arial" w:hAnsi="Arial" w:cs="Arial"/>
          <w:b w:val="0"/>
        </w:rPr>
        <w:t xml:space="preserve">a pro uzavření kupní smlouvy stanovuje následující pořadí zájemců: </w:t>
      </w:r>
    </w:p>
    <w:p w:rsidR="00FB10B0" w:rsidRPr="00687976" w:rsidRDefault="00FF2060" w:rsidP="00055DA5">
      <w:pPr>
        <w:pStyle w:val="Zkladntext31"/>
        <w:numPr>
          <w:ilvl w:val="1"/>
          <w:numId w:val="8"/>
        </w:numPr>
        <w:tabs>
          <w:tab w:val="clear" w:pos="1080"/>
          <w:tab w:val="num" w:pos="426"/>
        </w:tabs>
        <w:ind w:left="284" w:hanging="284"/>
        <w:jc w:val="both"/>
        <w:rPr>
          <w:rFonts w:ascii="Arial" w:hAnsi="Arial" w:cs="Arial"/>
          <w:b w:val="0"/>
        </w:rPr>
      </w:pPr>
      <w:r>
        <w:rPr>
          <w:rFonts w:ascii="Arial" w:hAnsi="Arial" w:cs="Arial"/>
          <w:b w:val="0"/>
          <w:lang w:val="cs-CZ"/>
        </w:rPr>
        <w:t>zájemce č. 1</w:t>
      </w:r>
      <w:r w:rsidR="00FB10B0" w:rsidRPr="00687976">
        <w:rPr>
          <w:rFonts w:ascii="Arial" w:hAnsi="Arial" w:cs="Arial"/>
          <w:b w:val="0"/>
        </w:rPr>
        <w:t>, za nabídnutou kupní cenu ve výši 909.000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2</w:t>
      </w:r>
      <w:r w:rsidR="00FB10B0" w:rsidRPr="00687976">
        <w:rPr>
          <w:rFonts w:ascii="Arial" w:hAnsi="Arial" w:cs="Arial"/>
          <w:b w:val="0"/>
        </w:rPr>
        <w:t>, za nabídnutou kupní cenu ve výši 860.000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3</w:t>
      </w:r>
      <w:r w:rsidR="00FB10B0" w:rsidRPr="00687976">
        <w:rPr>
          <w:rFonts w:ascii="Arial" w:hAnsi="Arial" w:cs="Arial"/>
          <w:b w:val="0"/>
        </w:rPr>
        <w:t>, za nabídnutou kupní cenu ve výši 827.750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 xml:space="preserve">zájemce č. 4, </w:t>
      </w:r>
      <w:r w:rsidR="00FB10B0" w:rsidRPr="00687976">
        <w:rPr>
          <w:rFonts w:ascii="Arial" w:hAnsi="Arial" w:cs="Arial"/>
          <w:b w:val="0"/>
        </w:rPr>
        <w:t>za nabídnutou kupní cenu ve výši 805.000 Kč, přičemž prodej bude realizován do spoluvlastnictví (každému podíl o velikosti 1/2),</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5</w:t>
      </w:r>
      <w:r w:rsidR="00FB10B0" w:rsidRPr="00687976">
        <w:rPr>
          <w:rFonts w:ascii="Arial" w:hAnsi="Arial" w:cs="Arial"/>
          <w:b w:val="0"/>
        </w:rPr>
        <w:t>, za nabídnutou kupní cenu ve výši 790.000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6</w:t>
      </w:r>
      <w:r w:rsidR="00FB10B0" w:rsidRPr="00687976">
        <w:rPr>
          <w:rFonts w:ascii="Arial" w:hAnsi="Arial" w:cs="Arial"/>
          <w:b w:val="0"/>
        </w:rPr>
        <w:t>, za nabídnutou kupní cenu ve výši 780.000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7</w:t>
      </w:r>
      <w:r w:rsidR="00FB10B0" w:rsidRPr="00687976">
        <w:rPr>
          <w:rFonts w:ascii="Arial" w:hAnsi="Arial" w:cs="Arial"/>
          <w:b w:val="0"/>
        </w:rPr>
        <w:t>, za nabídnutou kupní cenu ve výši 750.000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8</w:t>
      </w:r>
      <w:r w:rsidR="00FB10B0" w:rsidRPr="00687976">
        <w:rPr>
          <w:rFonts w:ascii="Arial" w:hAnsi="Arial" w:cs="Arial"/>
          <w:b w:val="0"/>
        </w:rPr>
        <w:t>, za nabídnutou kupní cenu ve výši 723.565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9</w:t>
      </w:r>
      <w:r w:rsidR="00FB10B0" w:rsidRPr="00687976">
        <w:rPr>
          <w:rFonts w:ascii="Arial" w:hAnsi="Arial" w:cs="Arial"/>
          <w:b w:val="0"/>
        </w:rPr>
        <w:t>, za nabídnutou kupní cenu ve výši 710.000 Kč,</w:t>
      </w:r>
    </w:p>
    <w:p w:rsidR="00FB10B0" w:rsidRPr="00687976" w:rsidRDefault="00FF2060" w:rsidP="00055DA5">
      <w:pPr>
        <w:pStyle w:val="Zkladntext31"/>
        <w:numPr>
          <w:ilvl w:val="1"/>
          <w:numId w:val="8"/>
        </w:numPr>
        <w:tabs>
          <w:tab w:val="clear" w:pos="1080"/>
          <w:tab w:val="num" w:pos="284"/>
        </w:tabs>
        <w:ind w:left="284" w:hanging="284"/>
        <w:jc w:val="both"/>
        <w:rPr>
          <w:rFonts w:ascii="Arial" w:hAnsi="Arial" w:cs="Arial"/>
          <w:b w:val="0"/>
        </w:rPr>
      </w:pPr>
      <w:r>
        <w:rPr>
          <w:rFonts w:ascii="Arial" w:hAnsi="Arial" w:cs="Arial"/>
          <w:b w:val="0"/>
          <w:lang w:val="cs-CZ"/>
        </w:rPr>
        <w:t>zájemce č. 10, z</w:t>
      </w:r>
      <w:r w:rsidR="00FB10B0" w:rsidRPr="00687976">
        <w:rPr>
          <w:rFonts w:ascii="Arial" w:hAnsi="Arial" w:cs="Arial"/>
          <w:b w:val="0"/>
        </w:rPr>
        <w:t>a nabídnutou kupní cenu ve výši 701.009 Kč.</w:t>
      </w:r>
    </w:p>
    <w:p w:rsidR="00FB10B0" w:rsidRPr="00687976" w:rsidRDefault="00FB10B0" w:rsidP="00FB10B0">
      <w:pPr>
        <w:jc w:val="both"/>
        <w:rPr>
          <w:rFonts w:cs="Arial"/>
          <w:sz w:val="20"/>
        </w:rPr>
      </w:pPr>
    </w:p>
    <w:p w:rsidR="00FB10B0" w:rsidRPr="00687976" w:rsidRDefault="00FB10B0" w:rsidP="00FB10B0">
      <w:pPr>
        <w:jc w:val="both"/>
        <w:rPr>
          <w:bCs/>
          <w:sz w:val="20"/>
        </w:rPr>
      </w:pPr>
      <w:r w:rsidRPr="00687976">
        <w:rPr>
          <w:b/>
          <w:sz w:val="20"/>
        </w:rPr>
        <w:t>Odbor SÚMM</w:t>
      </w:r>
      <w:r w:rsidRPr="00687976">
        <w:rPr>
          <w:sz w:val="20"/>
        </w:rPr>
        <w:t xml:space="preserve"> </w:t>
      </w:r>
      <w:r w:rsidRPr="00687976">
        <w:rPr>
          <w:b/>
          <w:bCs/>
          <w:sz w:val="20"/>
        </w:rPr>
        <w:t xml:space="preserve">doporučuje </w:t>
      </w:r>
      <w:r w:rsidR="00EA4A27" w:rsidRPr="00687976">
        <w:rPr>
          <w:bCs/>
          <w:sz w:val="20"/>
        </w:rPr>
        <w:t xml:space="preserve">revokovat </w:t>
      </w:r>
      <w:r w:rsidR="00EA4A27" w:rsidRPr="00687976">
        <w:rPr>
          <w:sz w:val="20"/>
          <w:lang w:eastAsia="x-none"/>
        </w:rPr>
        <w:t xml:space="preserve">bod 9 usnesení </w:t>
      </w:r>
      <w:r w:rsidR="00EA4A27" w:rsidRPr="00687976">
        <w:rPr>
          <w:sz w:val="20"/>
        </w:rPr>
        <w:t xml:space="preserve">Zastupitelstva města Prostějova č. 10195 ze dne </w:t>
      </w:r>
      <w:proofErr w:type="gramStart"/>
      <w:r w:rsidR="00EA4A27" w:rsidRPr="00687976">
        <w:rPr>
          <w:sz w:val="20"/>
        </w:rPr>
        <w:t>20.09.2011</w:t>
      </w:r>
      <w:proofErr w:type="gramEnd"/>
      <w:r w:rsidR="00EA4A27" w:rsidRPr="00687976">
        <w:rPr>
          <w:sz w:val="20"/>
        </w:rPr>
        <w:t xml:space="preserve"> týkající se schválení prodeje bytové jednotky č. 1622/15 v objektu na ul. Netušilova 3 v Prostějově a </w:t>
      </w:r>
      <w:r w:rsidRPr="00687976">
        <w:rPr>
          <w:bCs/>
          <w:sz w:val="20"/>
        </w:rPr>
        <w:t xml:space="preserve">schválit </w:t>
      </w:r>
      <w:r w:rsidRPr="00687976">
        <w:rPr>
          <w:sz w:val="20"/>
        </w:rPr>
        <w:t xml:space="preserve">prodej předmětné jednotky za podmínek a v pořadí zájemců dle návrhu usnesení. Dle Směrnice č. 4/2013, kterou se upravuje systém aplikace kaucí při prodeji majetku Statutárního města Prostějova, bude vybranému uchazeči poskytnuta lhůta 30 dnů ode dne doručení výzvy pro uzavření kupní smlouvy. Před uzavřením kupní smlouvy bude vybraný uchazeč povinen zaplatit celou kupní cenu (část již uhrazena formou kauce) a požadované náklady spojené s prodejem předmětných nemovitostí. V případě, že ve stanovené lhůtě nebude kupní smlouva uzavřena, zaplacená kauce se nevrací a připadne Statutárnímu městu Prostějovu. Současně bude osloven další uchazeč, kterému bude poskytnuta stejná lhůta pro uzavření kupní smlouvy. </w:t>
      </w:r>
    </w:p>
    <w:p w:rsidR="00FB10B0" w:rsidRPr="00687976" w:rsidRDefault="00FB10B0" w:rsidP="00FB10B0">
      <w:pPr>
        <w:jc w:val="both"/>
        <w:rPr>
          <w:sz w:val="20"/>
        </w:rPr>
      </w:pPr>
    </w:p>
    <w:p w:rsidR="00FB10B0" w:rsidRPr="00687976" w:rsidRDefault="00FB10B0" w:rsidP="00FB10B0">
      <w:pPr>
        <w:jc w:val="both"/>
        <w:rPr>
          <w:sz w:val="20"/>
        </w:rPr>
      </w:pPr>
      <w:r w:rsidRPr="00687976">
        <w:rPr>
          <w:sz w:val="20"/>
        </w:rPr>
        <w:lastRenderedPageBreak/>
        <w:t>Zájemci nejsou dlužníky Statutárního města Prostějova.</w:t>
      </w:r>
    </w:p>
    <w:p w:rsidR="00FB10B0" w:rsidRPr="00687976" w:rsidRDefault="00FB10B0" w:rsidP="00FB10B0">
      <w:pPr>
        <w:pStyle w:val="Zkladntext21"/>
      </w:pPr>
    </w:p>
    <w:p w:rsidR="00EA4A27" w:rsidRPr="00687976" w:rsidRDefault="00EA4A27" w:rsidP="00EA4A27">
      <w:pPr>
        <w:jc w:val="both"/>
        <w:rPr>
          <w:rFonts w:cs="Arial"/>
          <w:b/>
          <w:sz w:val="20"/>
        </w:rPr>
      </w:pPr>
      <w:r w:rsidRPr="00687976">
        <w:rPr>
          <w:rFonts w:cs="Arial"/>
          <w:b/>
          <w:bCs/>
          <w:sz w:val="20"/>
        </w:rPr>
        <w:t xml:space="preserve">Materiál byl předložen k projednání na schůzi Finančního výboru dne </w:t>
      </w:r>
      <w:proofErr w:type="gramStart"/>
      <w:r w:rsidRPr="00687976">
        <w:rPr>
          <w:rFonts w:cs="Arial"/>
          <w:b/>
          <w:bCs/>
          <w:sz w:val="20"/>
        </w:rPr>
        <w:t>05.06.2017</w:t>
      </w:r>
      <w:proofErr w:type="gramEnd"/>
      <w:r w:rsidRPr="00687976">
        <w:rPr>
          <w:rFonts w:cs="Arial"/>
          <w:b/>
          <w:bCs/>
          <w:sz w:val="20"/>
        </w:rPr>
        <w:t>.</w:t>
      </w:r>
    </w:p>
    <w:p w:rsidR="00FB10B0" w:rsidRPr="00687976" w:rsidRDefault="00FB10B0" w:rsidP="00FB10B0">
      <w:pPr>
        <w:pStyle w:val="Zkladntext21"/>
      </w:pPr>
    </w:p>
    <w:p w:rsidR="00FB10B0" w:rsidRPr="00687976" w:rsidRDefault="00FB10B0" w:rsidP="00FB10B0">
      <w:pPr>
        <w:pStyle w:val="Zkladntext21"/>
      </w:pPr>
    </w:p>
    <w:p w:rsidR="00FF2060" w:rsidRDefault="00FF2060" w:rsidP="00FF2060">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EA4A27" w:rsidRPr="00687976" w:rsidRDefault="00EA4A27" w:rsidP="00FB10B0">
      <w:pPr>
        <w:pStyle w:val="Zkladntext21"/>
      </w:pPr>
    </w:p>
    <w:p w:rsidR="00EA4A27" w:rsidRPr="00687976" w:rsidRDefault="00EA4A27" w:rsidP="00FB10B0">
      <w:pPr>
        <w:pStyle w:val="Zkladntext21"/>
      </w:pPr>
    </w:p>
    <w:p w:rsidR="00EA4A27" w:rsidRPr="00687976" w:rsidRDefault="00EA4A27" w:rsidP="00FB10B0">
      <w:pPr>
        <w:pStyle w:val="Zkladntext21"/>
      </w:pPr>
    </w:p>
    <w:p w:rsidR="00EA4A27" w:rsidRPr="00687976" w:rsidRDefault="00EA4A27" w:rsidP="00FB10B0">
      <w:pPr>
        <w:pStyle w:val="Zkladntext21"/>
      </w:pPr>
    </w:p>
    <w:p w:rsidR="00EA4A27" w:rsidRPr="00687976" w:rsidRDefault="00EA4A27" w:rsidP="00FB10B0">
      <w:pPr>
        <w:pStyle w:val="Zkladntext21"/>
      </w:pPr>
    </w:p>
    <w:p w:rsidR="00EA4A27" w:rsidRPr="00687976" w:rsidRDefault="00EA4A27" w:rsidP="00FB10B0">
      <w:pPr>
        <w:pStyle w:val="Zkladntext21"/>
      </w:pPr>
    </w:p>
    <w:p w:rsidR="00EA4A27" w:rsidRPr="00687976" w:rsidRDefault="00EA4A27" w:rsidP="00FB10B0">
      <w:pPr>
        <w:pStyle w:val="Zkladntext21"/>
      </w:pPr>
    </w:p>
    <w:p w:rsidR="00FB10B0" w:rsidRPr="00687976" w:rsidRDefault="00FB10B0" w:rsidP="00FB10B0">
      <w:pPr>
        <w:jc w:val="both"/>
        <w:rPr>
          <w:sz w:val="20"/>
        </w:rPr>
      </w:pPr>
      <w:r w:rsidRPr="00687976">
        <w:rPr>
          <w:sz w:val="20"/>
          <w:u w:val="single"/>
        </w:rPr>
        <w:t>Přílohy:</w:t>
      </w:r>
      <w:r w:rsidRPr="00687976">
        <w:rPr>
          <w:sz w:val="20"/>
        </w:rPr>
        <w:tab/>
        <w:t>situační mapa</w:t>
      </w:r>
    </w:p>
    <w:p w:rsidR="00FB10B0" w:rsidRPr="00687976" w:rsidRDefault="00FB10B0" w:rsidP="00FF2060">
      <w:pPr>
        <w:pStyle w:val="Zkladntext21"/>
        <w:ind w:left="1134" w:firstLine="6"/>
        <w:rPr>
          <w:rFonts w:ascii="Arial" w:hAnsi="Arial" w:cs="Arial"/>
        </w:rPr>
      </w:pPr>
      <w:r w:rsidRPr="00687976">
        <w:rPr>
          <w:rFonts w:ascii="Arial" w:hAnsi="Arial" w:cs="Arial"/>
        </w:rPr>
        <w:t xml:space="preserve">Protokol o otevírání obálek s nabídkami ze dne </w:t>
      </w:r>
      <w:proofErr w:type="gramStart"/>
      <w:r w:rsidRPr="00687976">
        <w:rPr>
          <w:rFonts w:ascii="Arial" w:hAnsi="Arial" w:cs="Arial"/>
        </w:rPr>
        <w:t>02.05.2017</w:t>
      </w:r>
      <w:proofErr w:type="gramEnd"/>
      <w:r w:rsidR="00FF2060">
        <w:rPr>
          <w:rFonts w:ascii="Arial" w:hAnsi="Arial" w:cs="Arial"/>
        </w:rPr>
        <w:t xml:space="preserve"> – příloha odstraněna   </w:t>
      </w:r>
      <w:bookmarkStart w:id="0" w:name="_GoBack"/>
      <w:bookmarkEnd w:id="0"/>
      <w:r w:rsidR="00FF2060">
        <w:rPr>
          <w:rFonts w:ascii="Arial" w:hAnsi="Arial" w:cs="Arial"/>
        </w:rPr>
        <w:t>z důvodu ochrany osobních údajů</w:t>
      </w:r>
    </w:p>
    <w:p w:rsidR="00BA66B0" w:rsidRPr="00687976" w:rsidRDefault="00BA66B0" w:rsidP="00BA66B0">
      <w:pPr>
        <w:jc w:val="both"/>
        <w:rPr>
          <w:sz w:val="20"/>
          <w:u w:val="single"/>
        </w:rPr>
      </w:pPr>
    </w:p>
    <w:p w:rsidR="008F6FC1" w:rsidRPr="00687976" w:rsidRDefault="008F6FC1" w:rsidP="000F2B25">
      <w:pPr>
        <w:pStyle w:val="Zkladntext21"/>
        <w:rPr>
          <w:rFonts w:ascii="Arial" w:hAnsi="Arial" w:cs="Arial"/>
        </w:rPr>
      </w:pPr>
    </w:p>
    <w:p w:rsidR="000F2B25" w:rsidRPr="00687976" w:rsidRDefault="000F2B25" w:rsidP="000F2B25">
      <w:pPr>
        <w:pStyle w:val="Zkladntext21"/>
        <w:rPr>
          <w:rFonts w:ascii="Arial" w:hAnsi="Arial" w:cs="Arial"/>
        </w:rPr>
      </w:pPr>
      <w:r w:rsidRPr="00687976">
        <w:rPr>
          <w:rFonts w:ascii="Arial" w:hAnsi="Arial" w:cs="Arial"/>
        </w:rPr>
        <w:t>Prostějov:</w:t>
      </w:r>
      <w:r w:rsidRPr="00687976">
        <w:rPr>
          <w:rFonts w:ascii="Arial" w:hAnsi="Arial" w:cs="Arial"/>
        </w:rPr>
        <w:tab/>
      </w:r>
      <w:proofErr w:type="gramStart"/>
      <w:r w:rsidR="006E395C" w:rsidRPr="00687976">
        <w:rPr>
          <w:rFonts w:ascii="Arial" w:hAnsi="Arial" w:cs="Arial"/>
        </w:rPr>
        <w:t>2</w:t>
      </w:r>
      <w:r w:rsidR="001B296A" w:rsidRPr="00687976">
        <w:rPr>
          <w:rFonts w:ascii="Arial" w:hAnsi="Arial" w:cs="Arial"/>
        </w:rPr>
        <w:t>4</w:t>
      </w:r>
      <w:r w:rsidRPr="00687976">
        <w:rPr>
          <w:rFonts w:ascii="Arial" w:hAnsi="Arial" w:cs="Arial"/>
        </w:rPr>
        <w:t>.</w:t>
      </w:r>
      <w:r w:rsidR="00AA3BC8" w:rsidRPr="00687976">
        <w:rPr>
          <w:rFonts w:ascii="Arial" w:hAnsi="Arial" w:cs="Arial"/>
        </w:rPr>
        <w:t>0</w:t>
      </w:r>
      <w:r w:rsidR="006E395C" w:rsidRPr="00687976">
        <w:rPr>
          <w:rFonts w:ascii="Arial" w:hAnsi="Arial" w:cs="Arial"/>
        </w:rPr>
        <w:t>5</w:t>
      </w:r>
      <w:r w:rsidRPr="00687976">
        <w:rPr>
          <w:rFonts w:ascii="Arial" w:hAnsi="Arial" w:cs="Arial"/>
        </w:rPr>
        <w:t>.201</w:t>
      </w:r>
      <w:r w:rsidR="001777ED" w:rsidRPr="00687976">
        <w:rPr>
          <w:rFonts w:ascii="Arial" w:hAnsi="Arial" w:cs="Arial"/>
        </w:rPr>
        <w:t>7</w:t>
      </w:r>
      <w:proofErr w:type="gramEnd"/>
    </w:p>
    <w:p w:rsidR="00BA66B0" w:rsidRPr="00687976" w:rsidRDefault="00BA66B0" w:rsidP="0071146F">
      <w:pPr>
        <w:tabs>
          <w:tab w:val="left" w:pos="3969"/>
        </w:tabs>
        <w:jc w:val="both"/>
        <w:rPr>
          <w:rFonts w:cs="Arial"/>
          <w:sz w:val="20"/>
        </w:rPr>
      </w:pPr>
    </w:p>
    <w:p w:rsidR="008F6FC1" w:rsidRPr="00687976" w:rsidRDefault="008F6FC1" w:rsidP="0071146F">
      <w:pPr>
        <w:tabs>
          <w:tab w:val="left" w:pos="3969"/>
        </w:tabs>
        <w:jc w:val="both"/>
        <w:rPr>
          <w:rFonts w:cs="Arial"/>
          <w:sz w:val="20"/>
        </w:rPr>
      </w:pPr>
    </w:p>
    <w:p w:rsidR="006E395C" w:rsidRPr="00687976" w:rsidRDefault="0071146F" w:rsidP="0071146F">
      <w:pPr>
        <w:tabs>
          <w:tab w:val="left" w:pos="3969"/>
        </w:tabs>
        <w:jc w:val="both"/>
        <w:rPr>
          <w:rFonts w:cs="Arial"/>
          <w:sz w:val="20"/>
        </w:rPr>
      </w:pPr>
      <w:r w:rsidRPr="00687976">
        <w:rPr>
          <w:rFonts w:cs="Arial"/>
          <w:sz w:val="20"/>
        </w:rPr>
        <w:t>Osoba odpovědná za zpracování materiálu:</w:t>
      </w:r>
      <w:r w:rsidRPr="00687976">
        <w:rPr>
          <w:rFonts w:cs="Arial"/>
          <w:sz w:val="20"/>
        </w:rPr>
        <w:tab/>
      </w:r>
      <w:r w:rsidR="00AA19EE" w:rsidRPr="00687976">
        <w:rPr>
          <w:rFonts w:cs="Arial"/>
          <w:sz w:val="20"/>
        </w:rPr>
        <w:t>Mgr</w:t>
      </w:r>
      <w:r w:rsidRPr="00687976">
        <w:rPr>
          <w:rFonts w:cs="Arial"/>
          <w:sz w:val="20"/>
        </w:rPr>
        <w:t xml:space="preserve">. Libor Vojtek, </w:t>
      </w:r>
      <w:r w:rsidR="00FF2060">
        <w:rPr>
          <w:rFonts w:cs="Arial"/>
          <w:sz w:val="20"/>
        </w:rPr>
        <w:t xml:space="preserve">v. r. </w:t>
      </w:r>
    </w:p>
    <w:p w:rsidR="0071146F" w:rsidRPr="00687976" w:rsidRDefault="006E395C" w:rsidP="0071146F">
      <w:pPr>
        <w:tabs>
          <w:tab w:val="left" w:pos="3969"/>
        </w:tabs>
        <w:jc w:val="both"/>
        <w:rPr>
          <w:rFonts w:cs="Arial"/>
          <w:sz w:val="20"/>
        </w:rPr>
      </w:pPr>
      <w:r w:rsidRPr="00687976">
        <w:rPr>
          <w:rFonts w:cs="Arial"/>
          <w:sz w:val="20"/>
        </w:rPr>
        <w:tab/>
      </w:r>
      <w:r w:rsidRPr="00687976">
        <w:rPr>
          <w:rFonts w:cs="Arial"/>
          <w:sz w:val="20"/>
        </w:rPr>
        <w:tab/>
      </w:r>
      <w:r w:rsidR="0071146F" w:rsidRPr="00687976">
        <w:rPr>
          <w:rFonts w:cs="Arial"/>
          <w:sz w:val="20"/>
        </w:rPr>
        <w:t xml:space="preserve">vedoucí Odboru SÚMM </w:t>
      </w:r>
    </w:p>
    <w:p w:rsidR="00BA66B0" w:rsidRPr="00687976" w:rsidRDefault="00BA66B0" w:rsidP="000F2B25">
      <w:pPr>
        <w:jc w:val="both"/>
        <w:rPr>
          <w:rFonts w:cs="Arial"/>
          <w:sz w:val="20"/>
        </w:rPr>
      </w:pPr>
    </w:p>
    <w:p w:rsidR="008F6FC1" w:rsidRPr="00687976" w:rsidRDefault="008F6FC1" w:rsidP="000F2B25">
      <w:pPr>
        <w:jc w:val="both"/>
        <w:rPr>
          <w:rFonts w:cs="Arial"/>
          <w:sz w:val="20"/>
        </w:rPr>
      </w:pPr>
    </w:p>
    <w:p w:rsidR="000F2B25" w:rsidRPr="00687976" w:rsidRDefault="000F2B25" w:rsidP="000F2B25">
      <w:pPr>
        <w:jc w:val="both"/>
        <w:rPr>
          <w:rFonts w:cs="Arial"/>
          <w:sz w:val="20"/>
        </w:rPr>
      </w:pPr>
      <w:r w:rsidRPr="00687976">
        <w:rPr>
          <w:rFonts w:cs="Arial"/>
          <w:sz w:val="20"/>
        </w:rPr>
        <w:t>Zpracoval:</w:t>
      </w:r>
      <w:r w:rsidRPr="00687976">
        <w:rPr>
          <w:rFonts w:cs="Arial"/>
          <w:sz w:val="20"/>
        </w:rPr>
        <w:tab/>
        <w:t xml:space="preserve">Bc. Vladimír Hofman, </w:t>
      </w:r>
      <w:r w:rsidR="00FF2060">
        <w:rPr>
          <w:rFonts w:cs="Arial"/>
          <w:sz w:val="20"/>
        </w:rPr>
        <w:t xml:space="preserve">v. r. </w:t>
      </w:r>
    </w:p>
    <w:p w:rsidR="00534015" w:rsidRPr="00687976" w:rsidRDefault="00E3124D" w:rsidP="00E8256D">
      <w:pPr>
        <w:jc w:val="both"/>
        <w:rPr>
          <w:rFonts w:cs="Arial"/>
          <w:sz w:val="20"/>
        </w:rPr>
      </w:pPr>
      <w:r w:rsidRPr="00687976">
        <w:rPr>
          <w:rFonts w:cs="Arial"/>
          <w:sz w:val="20"/>
        </w:rPr>
        <w:tab/>
      </w:r>
      <w:r w:rsidRPr="00687976">
        <w:rPr>
          <w:rFonts w:cs="Arial"/>
          <w:sz w:val="20"/>
        </w:rPr>
        <w:tab/>
      </w:r>
      <w:r w:rsidR="000F2B25" w:rsidRPr="00687976">
        <w:rPr>
          <w:rFonts w:cs="Arial"/>
          <w:sz w:val="20"/>
        </w:rPr>
        <w:t>odborný referent oddělení nakládání s majetkem města Odboru SÚMM</w:t>
      </w:r>
    </w:p>
    <w:p w:rsidR="00EA4A27" w:rsidRPr="00687976" w:rsidRDefault="00EA4A27" w:rsidP="00EA4A27">
      <w:pPr>
        <w:jc w:val="both"/>
        <w:rPr>
          <w:sz w:val="20"/>
        </w:rPr>
      </w:pPr>
    </w:p>
    <w:p w:rsidR="00EA4A27" w:rsidRDefault="00EA4A27" w:rsidP="00EA4A27">
      <w:pPr>
        <w:jc w:val="both"/>
        <w:rPr>
          <w:sz w:val="20"/>
        </w:rPr>
      </w:pPr>
      <w:r>
        <w:rPr>
          <w:noProof/>
          <w:sz w:val="20"/>
        </w:rPr>
        <w:lastRenderedPageBreak/>
        <w:drawing>
          <wp:inline distT="0" distB="0" distL="0" distR="0" wp14:anchorId="355AF884" wp14:editId="7DFCB418">
            <wp:extent cx="5760720" cy="814832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EA4A27" w:rsidRDefault="00EA4A27" w:rsidP="00EA4A27">
      <w:pPr>
        <w:jc w:val="both"/>
        <w:rPr>
          <w:sz w:val="20"/>
        </w:rPr>
      </w:pPr>
    </w:p>
    <w:p w:rsidR="00EA4A27" w:rsidRDefault="00EA4A27" w:rsidP="00EA4A27">
      <w:pPr>
        <w:jc w:val="both"/>
        <w:rPr>
          <w:sz w:val="20"/>
        </w:rPr>
      </w:pPr>
    </w:p>
    <w:p w:rsidR="00BA66B0" w:rsidRPr="00894BBD" w:rsidRDefault="00BA66B0" w:rsidP="00BA66B0">
      <w:pPr>
        <w:jc w:val="both"/>
        <w:rPr>
          <w:sz w:val="20"/>
        </w:rPr>
      </w:pPr>
    </w:p>
    <w:p w:rsidR="00E8256D" w:rsidRDefault="00E8256D" w:rsidP="00E8256D">
      <w:pPr>
        <w:jc w:val="both"/>
        <w:rPr>
          <w:sz w:val="20"/>
        </w:rPr>
      </w:pPr>
    </w:p>
    <w:p w:rsidR="00E8256D" w:rsidRDefault="00E8256D" w:rsidP="00E8256D">
      <w:pPr>
        <w:jc w:val="both"/>
        <w:rPr>
          <w:sz w:val="20"/>
        </w:rPr>
      </w:pPr>
    </w:p>
    <w:p w:rsidR="00534015" w:rsidRPr="00534015" w:rsidRDefault="00534015" w:rsidP="00097449">
      <w:pPr>
        <w:jc w:val="both"/>
        <w:rPr>
          <w:sz w:val="20"/>
        </w:rPr>
      </w:pPr>
    </w:p>
    <w:sectPr w:rsidR="00534015" w:rsidRPr="00534015" w:rsidSect="00036300">
      <w:footerReference w:type="even" r:id="rId9"/>
      <w:footerReference w:type="default" r:id="rId10"/>
      <w:footerReference w:type="first" r:id="rId11"/>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99" w:rsidRDefault="00835699">
      <w:r>
        <w:separator/>
      </w:r>
    </w:p>
  </w:endnote>
  <w:endnote w:type="continuationSeparator" w:id="0">
    <w:p w:rsidR="00835699" w:rsidRDefault="0083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8000002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FF2060">
      <w:rPr>
        <w:rFonts w:ascii="Arial" w:hAnsi="Arial" w:cs="Arial"/>
        <w:noProof/>
        <w:sz w:val="20"/>
      </w:rPr>
      <w:t>6</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7C7F8F">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99" w:rsidRDefault="00835699">
      <w:r>
        <w:separator/>
      </w:r>
    </w:p>
  </w:footnote>
  <w:footnote w:type="continuationSeparator" w:id="0">
    <w:p w:rsidR="00835699" w:rsidRDefault="0083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5414A3E"/>
    <w:multiLevelType w:val="hybridMultilevel"/>
    <w:tmpl w:val="8F567C46"/>
    <w:lvl w:ilvl="0" w:tplc="D318C7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0C75A7"/>
    <w:multiLevelType w:val="hybridMultilevel"/>
    <w:tmpl w:val="67FA4EB0"/>
    <w:lvl w:ilvl="0" w:tplc="4F0CF8C6">
      <w:start w:val="30"/>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7">
    <w:nsid w:val="2B087E95"/>
    <w:multiLevelType w:val="hybridMultilevel"/>
    <w:tmpl w:val="A7FE35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494E0516"/>
    <w:multiLevelType w:val="hybridMultilevel"/>
    <w:tmpl w:val="D09C8A3A"/>
    <w:lvl w:ilvl="0" w:tplc="63729BA2">
      <w:start w:val="1"/>
      <w:numFmt w:val="lowerLetter"/>
      <w:lvlText w:val="%1)"/>
      <w:lvlJc w:val="left"/>
      <w:pPr>
        <w:tabs>
          <w:tab w:val="num" w:pos="360"/>
        </w:tabs>
        <w:ind w:left="360" w:hanging="360"/>
      </w:pPr>
      <w:rPr>
        <w:rFonts w:ascii="Arial" w:eastAsia="Times New Roman" w:hAnsi="Arial" w:cs="Arial"/>
      </w:rPr>
    </w:lvl>
    <w:lvl w:ilvl="1" w:tplc="0405000F">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54284A56"/>
    <w:multiLevelType w:val="hybridMultilevel"/>
    <w:tmpl w:val="6CA46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501790"/>
    <w:multiLevelType w:val="hybridMultilevel"/>
    <w:tmpl w:val="BAA849A0"/>
    <w:lvl w:ilvl="0" w:tplc="BC463F6E">
      <w:start w:val="1"/>
      <w:numFmt w:val="lowerLetter"/>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D17C02"/>
    <w:multiLevelType w:val="hybridMultilevel"/>
    <w:tmpl w:val="13749BFA"/>
    <w:lvl w:ilvl="0" w:tplc="959CF86C">
      <w:start w:val="1"/>
      <w:numFmt w:val="lowerLetter"/>
      <w:lvlText w:val="%1)"/>
      <w:lvlJc w:val="left"/>
      <w:pPr>
        <w:ind w:left="2347" w:hanging="360"/>
      </w:pPr>
      <w:rPr>
        <w:rFonts w:hint="default"/>
      </w:rPr>
    </w:lvl>
    <w:lvl w:ilvl="1" w:tplc="04050019" w:tentative="1">
      <w:start w:val="1"/>
      <w:numFmt w:val="lowerLetter"/>
      <w:lvlText w:val="%2."/>
      <w:lvlJc w:val="left"/>
      <w:pPr>
        <w:ind w:left="3067" w:hanging="360"/>
      </w:pPr>
    </w:lvl>
    <w:lvl w:ilvl="2" w:tplc="0405001B" w:tentative="1">
      <w:start w:val="1"/>
      <w:numFmt w:val="lowerRoman"/>
      <w:lvlText w:val="%3."/>
      <w:lvlJc w:val="right"/>
      <w:pPr>
        <w:ind w:left="3787" w:hanging="180"/>
      </w:pPr>
    </w:lvl>
    <w:lvl w:ilvl="3" w:tplc="0405000F" w:tentative="1">
      <w:start w:val="1"/>
      <w:numFmt w:val="decimal"/>
      <w:lvlText w:val="%4."/>
      <w:lvlJc w:val="left"/>
      <w:pPr>
        <w:ind w:left="4507" w:hanging="360"/>
      </w:pPr>
    </w:lvl>
    <w:lvl w:ilvl="4" w:tplc="04050019" w:tentative="1">
      <w:start w:val="1"/>
      <w:numFmt w:val="lowerLetter"/>
      <w:lvlText w:val="%5."/>
      <w:lvlJc w:val="left"/>
      <w:pPr>
        <w:ind w:left="5227" w:hanging="360"/>
      </w:pPr>
    </w:lvl>
    <w:lvl w:ilvl="5" w:tplc="0405001B" w:tentative="1">
      <w:start w:val="1"/>
      <w:numFmt w:val="lowerRoman"/>
      <w:lvlText w:val="%6."/>
      <w:lvlJc w:val="right"/>
      <w:pPr>
        <w:ind w:left="5947" w:hanging="180"/>
      </w:pPr>
    </w:lvl>
    <w:lvl w:ilvl="6" w:tplc="0405000F" w:tentative="1">
      <w:start w:val="1"/>
      <w:numFmt w:val="decimal"/>
      <w:lvlText w:val="%7."/>
      <w:lvlJc w:val="left"/>
      <w:pPr>
        <w:ind w:left="6667" w:hanging="360"/>
      </w:pPr>
    </w:lvl>
    <w:lvl w:ilvl="7" w:tplc="04050019" w:tentative="1">
      <w:start w:val="1"/>
      <w:numFmt w:val="lowerLetter"/>
      <w:lvlText w:val="%8."/>
      <w:lvlJc w:val="left"/>
      <w:pPr>
        <w:ind w:left="7387" w:hanging="360"/>
      </w:pPr>
    </w:lvl>
    <w:lvl w:ilvl="8" w:tplc="0405001B" w:tentative="1">
      <w:start w:val="1"/>
      <w:numFmt w:val="lowerRoman"/>
      <w:lvlText w:val="%9."/>
      <w:lvlJc w:val="right"/>
      <w:pPr>
        <w:ind w:left="8107"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2"/>
  </w:num>
  <w:num w:numId="8">
    <w:abstractNumId w:val="9"/>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55DA5"/>
    <w:rsid w:val="00060478"/>
    <w:rsid w:val="00065A8D"/>
    <w:rsid w:val="00080D69"/>
    <w:rsid w:val="00092AA1"/>
    <w:rsid w:val="00097449"/>
    <w:rsid w:val="000D6080"/>
    <w:rsid w:val="000E56B2"/>
    <w:rsid w:val="000E5AF4"/>
    <w:rsid w:val="000F2B25"/>
    <w:rsid w:val="000F3CA7"/>
    <w:rsid w:val="000F5B75"/>
    <w:rsid w:val="000F7250"/>
    <w:rsid w:val="0010350B"/>
    <w:rsid w:val="00110526"/>
    <w:rsid w:val="001122B8"/>
    <w:rsid w:val="00117C63"/>
    <w:rsid w:val="00121CFB"/>
    <w:rsid w:val="001317EC"/>
    <w:rsid w:val="0015412A"/>
    <w:rsid w:val="0016214B"/>
    <w:rsid w:val="0017769F"/>
    <w:rsid w:val="001777ED"/>
    <w:rsid w:val="00177EE0"/>
    <w:rsid w:val="00183FCC"/>
    <w:rsid w:val="00194F42"/>
    <w:rsid w:val="00197341"/>
    <w:rsid w:val="001A12BF"/>
    <w:rsid w:val="001B296A"/>
    <w:rsid w:val="001C5A78"/>
    <w:rsid w:val="001C698A"/>
    <w:rsid w:val="001F3487"/>
    <w:rsid w:val="001F600A"/>
    <w:rsid w:val="002019B1"/>
    <w:rsid w:val="002272A4"/>
    <w:rsid w:val="00232CE3"/>
    <w:rsid w:val="0023384D"/>
    <w:rsid w:val="00235F7B"/>
    <w:rsid w:val="00236DC5"/>
    <w:rsid w:val="00240AA7"/>
    <w:rsid w:val="00251349"/>
    <w:rsid w:val="00254062"/>
    <w:rsid w:val="00264EA0"/>
    <w:rsid w:val="00265301"/>
    <w:rsid w:val="00277C6B"/>
    <w:rsid w:val="00283978"/>
    <w:rsid w:val="002A27E7"/>
    <w:rsid w:val="002C34B8"/>
    <w:rsid w:val="002D1766"/>
    <w:rsid w:val="002D354F"/>
    <w:rsid w:val="002D5A09"/>
    <w:rsid w:val="002D7076"/>
    <w:rsid w:val="002E35D2"/>
    <w:rsid w:val="002F1DA6"/>
    <w:rsid w:val="002F3C43"/>
    <w:rsid w:val="002F4ACF"/>
    <w:rsid w:val="00325DE1"/>
    <w:rsid w:val="00326D55"/>
    <w:rsid w:val="00335C1C"/>
    <w:rsid w:val="00342AFE"/>
    <w:rsid w:val="00346A75"/>
    <w:rsid w:val="003561DD"/>
    <w:rsid w:val="00372913"/>
    <w:rsid w:val="00376946"/>
    <w:rsid w:val="003A6574"/>
    <w:rsid w:val="003A7CD8"/>
    <w:rsid w:val="003B408C"/>
    <w:rsid w:val="003B62E8"/>
    <w:rsid w:val="003B7853"/>
    <w:rsid w:val="003C18FE"/>
    <w:rsid w:val="003C20D1"/>
    <w:rsid w:val="003D2895"/>
    <w:rsid w:val="003D5E5B"/>
    <w:rsid w:val="003E1000"/>
    <w:rsid w:val="003F2B8B"/>
    <w:rsid w:val="00401F04"/>
    <w:rsid w:val="004027E0"/>
    <w:rsid w:val="00422015"/>
    <w:rsid w:val="00423F90"/>
    <w:rsid w:val="004314DC"/>
    <w:rsid w:val="00443C8B"/>
    <w:rsid w:val="0045176E"/>
    <w:rsid w:val="00497B2D"/>
    <w:rsid w:val="004A429A"/>
    <w:rsid w:val="004A5318"/>
    <w:rsid w:val="004B12F1"/>
    <w:rsid w:val="004D3D90"/>
    <w:rsid w:val="004E24A7"/>
    <w:rsid w:val="004F2016"/>
    <w:rsid w:val="00500AA2"/>
    <w:rsid w:val="00514E21"/>
    <w:rsid w:val="00534015"/>
    <w:rsid w:val="0054478F"/>
    <w:rsid w:val="00547DD1"/>
    <w:rsid w:val="005509BD"/>
    <w:rsid w:val="00551CB4"/>
    <w:rsid w:val="005545DD"/>
    <w:rsid w:val="00570F70"/>
    <w:rsid w:val="00581317"/>
    <w:rsid w:val="00583414"/>
    <w:rsid w:val="00592471"/>
    <w:rsid w:val="00597284"/>
    <w:rsid w:val="00597AD5"/>
    <w:rsid w:val="005B19EB"/>
    <w:rsid w:val="005B58F4"/>
    <w:rsid w:val="005B79C4"/>
    <w:rsid w:val="005C6474"/>
    <w:rsid w:val="005C653D"/>
    <w:rsid w:val="005D0A4C"/>
    <w:rsid w:val="005D12CB"/>
    <w:rsid w:val="005D1A35"/>
    <w:rsid w:val="005D1C06"/>
    <w:rsid w:val="005E78FF"/>
    <w:rsid w:val="005E7BD4"/>
    <w:rsid w:val="005F1E77"/>
    <w:rsid w:val="00602013"/>
    <w:rsid w:val="0060294E"/>
    <w:rsid w:val="00607D89"/>
    <w:rsid w:val="00612971"/>
    <w:rsid w:val="0063391E"/>
    <w:rsid w:val="00640896"/>
    <w:rsid w:val="006556CE"/>
    <w:rsid w:val="00667193"/>
    <w:rsid w:val="006737FE"/>
    <w:rsid w:val="006751DE"/>
    <w:rsid w:val="00687976"/>
    <w:rsid w:val="0069342D"/>
    <w:rsid w:val="00695E53"/>
    <w:rsid w:val="006A49D2"/>
    <w:rsid w:val="006A550C"/>
    <w:rsid w:val="006A574B"/>
    <w:rsid w:val="006C1E6B"/>
    <w:rsid w:val="006C23AF"/>
    <w:rsid w:val="006C360A"/>
    <w:rsid w:val="006C3FFD"/>
    <w:rsid w:val="006C68D0"/>
    <w:rsid w:val="006E395C"/>
    <w:rsid w:val="006E7C70"/>
    <w:rsid w:val="00706A8F"/>
    <w:rsid w:val="0071146F"/>
    <w:rsid w:val="00733D28"/>
    <w:rsid w:val="0073732E"/>
    <w:rsid w:val="00745735"/>
    <w:rsid w:val="00745980"/>
    <w:rsid w:val="00746C28"/>
    <w:rsid w:val="007474F9"/>
    <w:rsid w:val="00757850"/>
    <w:rsid w:val="00761231"/>
    <w:rsid w:val="00775C2C"/>
    <w:rsid w:val="0078091D"/>
    <w:rsid w:val="007818A0"/>
    <w:rsid w:val="007854C9"/>
    <w:rsid w:val="007B25D1"/>
    <w:rsid w:val="007B6AA4"/>
    <w:rsid w:val="007B7BA7"/>
    <w:rsid w:val="007C5DC8"/>
    <w:rsid w:val="007C7F8F"/>
    <w:rsid w:val="007D34C9"/>
    <w:rsid w:val="007D46D3"/>
    <w:rsid w:val="007E2942"/>
    <w:rsid w:val="007E7529"/>
    <w:rsid w:val="007F617B"/>
    <w:rsid w:val="0080548C"/>
    <w:rsid w:val="008113E9"/>
    <w:rsid w:val="00835699"/>
    <w:rsid w:val="00844932"/>
    <w:rsid w:val="0084744D"/>
    <w:rsid w:val="008575D2"/>
    <w:rsid w:val="008650A8"/>
    <w:rsid w:val="0087032E"/>
    <w:rsid w:val="00875DB2"/>
    <w:rsid w:val="00876E5E"/>
    <w:rsid w:val="00886F93"/>
    <w:rsid w:val="00891CDE"/>
    <w:rsid w:val="0089326D"/>
    <w:rsid w:val="008C5C7F"/>
    <w:rsid w:val="008C63AE"/>
    <w:rsid w:val="008C6C90"/>
    <w:rsid w:val="008D0CED"/>
    <w:rsid w:val="008F5CC3"/>
    <w:rsid w:val="008F6FC1"/>
    <w:rsid w:val="00906902"/>
    <w:rsid w:val="009073AE"/>
    <w:rsid w:val="00924A65"/>
    <w:rsid w:val="009279EB"/>
    <w:rsid w:val="0093634D"/>
    <w:rsid w:val="00937B48"/>
    <w:rsid w:val="0094042C"/>
    <w:rsid w:val="00942551"/>
    <w:rsid w:val="00951212"/>
    <w:rsid w:val="009541A3"/>
    <w:rsid w:val="009541A6"/>
    <w:rsid w:val="00990033"/>
    <w:rsid w:val="009A0CFF"/>
    <w:rsid w:val="009A35D5"/>
    <w:rsid w:val="009A500A"/>
    <w:rsid w:val="009B7120"/>
    <w:rsid w:val="009C295E"/>
    <w:rsid w:val="009C4AD6"/>
    <w:rsid w:val="009C6D90"/>
    <w:rsid w:val="009D53BF"/>
    <w:rsid w:val="009E12A2"/>
    <w:rsid w:val="009E2A52"/>
    <w:rsid w:val="009E34FC"/>
    <w:rsid w:val="009E5FFE"/>
    <w:rsid w:val="00A01E73"/>
    <w:rsid w:val="00A12518"/>
    <w:rsid w:val="00A17E93"/>
    <w:rsid w:val="00A555C7"/>
    <w:rsid w:val="00A56759"/>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74405"/>
    <w:rsid w:val="00B83EFD"/>
    <w:rsid w:val="00B924BE"/>
    <w:rsid w:val="00B94999"/>
    <w:rsid w:val="00B94CAB"/>
    <w:rsid w:val="00BA66B0"/>
    <w:rsid w:val="00BA7D89"/>
    <w:rsid w:val="00BB2CFF"/>
    <w:rsid w:val="00BB30A5"/>
    <w:rsid w:val="00BB7BFB"/>
    <w:rsid w:val="00BC0958"/>
    <w:rsid w:val="00BC51E5"/>
    <w:rsid w:val="00BC6849"/>
    <w:rsid w:val="00BD030C"/>
    <w:rsid w:val="00BD3349"/>
    <w:rsid w:val="00BD4FDC"/>
    <w:rsid w:val="00C05DD5"/>
    <w:rsid w:val="00C06536"/>
    <w:rsid w:val="00C154C0"/>
    <w:rsid w:val="00C24DF1"/>
    <w:rsid w:val="00C3198B"/>
    <w:rsid w:val="00C44420"/>
    <w:rsid w:val="00C5684D"/>
    <w:rsid w:val="00C62F1F"/>
    <w:rsid w:val="00C93D34"/>
    <w:rsid w:val="00CB35F3"/>
    <w:rsid w:val="00CB7C26"/>
    <w:rsid w:val="00CC74CB"/>
    <w:rsid w:val="00CE6493"/>
    <w:rsid w:val="00CE6705"/>
    <w:rsid w:val="00CE6D5E"/>
    <w:rsid w:val="00CF1AFF"/>
    <w:rsid w:val="00CF5990"/>
    <w:rsid w:val="00D04694"/>
    <w:rsid w:val="00D131C8"/>
    <w:rsid w:val="00D13458"/>
    <w:rsid w:val="00D2390D"/>
    <w:rsid w:val="00D24CD6"/>
    <w:rsid w:val="00D256F6"/>
    <w:rsid w:val="00D43D68"/>
    <w:rsid w:val="00D71E01"/>
    <w:rsid w:val="00D82F54"/>
    <w:rsid w:val="00D8622C"/>
    <w:rsid w:val="00D86ED1"/>
    <w:rsid w:val="00D91699"/>
    <w:rsid w:val="00D972C8"/>
    <w:rsid w:val="00DD04C9"/>
    <w:rsid w:val="00DD1B40"/>
    <w:rsid w:val="00DD40C0"/>
    <w:rsid w:val="00DE1115"/>
    <w:rsid w:val="00DE2658"/>
    <w:rsid w:val="00DE2927"/>
    <w:rsid w:val="00DE5EFC"/>
    <w:rsid w:val="00E06C4A"/>
    <w:rsid w:val="00E11069"/>
    <w:rsid w:val="00E15923"/>
    <w:rsid w:val="00E3124D"/>
    <w:rsid w:val="00E31EBB"/>
    <w:rsid w:val="00E369B0"/>
    <w:rsid w:val="00E436D1"/>
    <w:rsid w:val="00E53D2F"/>
    <w:rsid w:val="00E632CF"/>
    <w:rsid w:val="00E6353C"/>
    <w:rsid w:val="00E8256D"/>
    <w:rsid w:val="00E82F6C"/>
    <w:rsid w:val="00E846AE"/>
    <w:rsid w:val="00EA4A27"/>
    <w:rsid w:val="00EA73F0"/>
    <w:rsid w:val="00EB7937"/>
    <w:rsid w:val="00EC00F3"/>
    <w:rsid w:val="00F00280"/>
    <w:rsid w:val="00F0091E"/>
    <w:rsid w:val="00F02C14"/>
    <w:rsid w:val="00F0622C"/>
    <w:rsid w:val="00F1092D"/>
    <w:rsid w:val="00F10D30"/>
    <w:rsid w:val="00F11D40"/>
    <w:rsid w:val="00F155CE"/>
    <w:rsid w:val="00F21655"/>
    <w:rsid w:val="00F34C47"/>
    <w:rsid w:val="00F35B6E"/>
    <w:rsid w:val="00F37B80"/>
    <w:rsid w:val="00F37F88"/>
    <w:rsid w:val="00F54F73"/>
    <w:rsid w:val="00F56136"/>
    <w:rsid w:val="00F606F6"/>
    <w:rsid w:val="00F90569"/>
    <w:rsid w:val="00F90878"/>
    <w:rsid w:val="00F97124"/>
    <w:rsid w:val="00FB10B0"/>
    <w:rsid w:val="00FB317B"/>
    <w:rsid w:val="00FE2B1F"/>
    <w:rsid w:val="00FE7D4A"/>
    <w:rsid w:val="00FF2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ProsttextChar">
    <w:name w:val="Prostý text Char"/>
    <w:link w:val="Prosttext"/>
    <w:rsid w:val="00FB10B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ProsttextChar">
    <w:name w:val="Prostý text Char"/>
    <w:link w:val="Prosttext"/>
    <w:rsid w:val="00FB10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18</TotalTime>
  <Pages>6</Pages>
  <Words>2076</Words>
  <Characters>11040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2017-05-30T15:42:00Z</cp:lastPrinted>
  <dcterms:created xsi:type="dcterms:W3CDTF">2017-05-30T15:42:00Z</dcterms:created>
  <dcterms:modified xsi:type="dcterms:W3CDTF">2017-06-01T07:51:00Z</dcterms:modified>
</cp:coreProperties>
</file>