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4A0" w:firstRow="1" w:lastRow="0" w:firstColumn="1" w:lastColumn="0" w:noHBand="0" w:noVBand="1"/>
      </w:tblPr>
      <w:tblGrid>
        <w:gridCol w:w="2285"/>
        <w:gridCol w:w="2835"/>
        <w:gridCol w:w="3119"/>
        <w:gridCol w:w="850"/>
      </w:tblGrid>
      <w:tr w:rsidR="009B458B" w:rsidRPr="00D573F3" w:rsidTr="009B458B">
        <w:trPr>
          <w:trHeight w:hRule="exact" w:val="345"/>
        </w:trPr>
        <w:tc>
          <w:tcPr>
            <w:tcW w:w="5120" w:type="dxa"/>
            <w:gridSpan w:val="2"/>
            <w:vAlign w:val="bottom"/>
            <w:hideMark/>
          </w:tcPr>
          <w:p w:rsidR="009B458B" w:rsidRPr="00D573F3" w:rsidRDefault="009B458B">
            <w:pPr>
              <w:pStyle w:val="Zkladntext"/>
              <w:ind w:hanging="53"/>
              <w:rPr>
                <w:rFonts w:ascii="Times New Roman" w:hAnsi="Times New Roman"/>
                <w:b/>
                <w:sz w:val="28"/>
                <w:szCs w:val="28"/>
              </w:rPr>
            </w:pPr>
            <w:r w:rsidRPr="00D573F3">
              <w:rPr>
                <w:rFonts w:ascii="Times New Roman" w:hAnsi="Times New Roman"/>
                <w:b/>
                <w:sz w:val="28"/>
                <w:szCs w:val="28"/>
              </w:rPr>
              <w:t>MATERIÁL</w:t>
            </w:r>
          </w:p>
        </w:tc>
        <w:tc>
          <w:tcPr>
            <w:tcW w:w="3119" w:type="dxa"/>
            <w:vAlign w:val="bottom"/>
            <w:hideMark/>
          </w:tcPr>
          <w:p w:rsidR="009B458B" w:rsidRPr="00D573F3" w:rsidRDefault="009B458B">
            <w:pPr>
              <w:pStyle w:val="Zkladntext"/>
              <w:jc w:val="right"/>
              <w:rPr>
                <w:rFonts w:ascii="Times New Roman" w:hAnsi="Times New Roman"/>
                <w:sz w:val="28"/>
                <w:szCs w:val="28"/>
              </w:rPr>
            </w:pPr>
            <w:r w:rsidRPr="00D573F3">
              <w:rPr>
                <w:rFonts w:ascii="Times New Roman" w:hAnsi="Times New Roman"/>
                <w:sz w:val="28"/>
                <w:szCs w:val="28"/>
              </w:rPr>
              <w:t xml:space="preserve">číslo: </w:t>
            </w:r>
          </w:p>
        </w:tc>
        <w:tc>
          <w:tcPr>
            <w:tcW w:w="850" w:type="dxa"/>
            <w:vAlign w:val="bottom"/>
          </w:tcPr>
          <w:p w:rsidR="009B458B" w:rsidRPr="00D573F3" w:rsidRDefault="009B458B">
            <w:pPr>
              <w:pStyle w:val="Zkladntext"/>
              <w:jc w:val="right"/>
              <w:rPr>
                <w:rFonts w:ascii="Times New Roman" w:hAnsi="Times New Roman"/>
                <w:sz w:val="28"/>
                <w:szCs w:val="28"/>
              </w:rPr>
            </w:pPr>
          </w:p>
        </w:tc>
      </w:tr>
      <w:tr w:rsidR="009B458B" w:rsidRPr="00D573F3" w:rsidTr="009B458B">
        <w:trPr>
          <w:trHeight w:val="345"/>
        </w:trPr>
        <w:tc>
          <w:tcPr>
            <w:tcW w:w="9089" w:type="dxa"/>
            <w:gridSpan w:val="4"/>
            <w:vAlign w:val="bottom"/>
            <w:hideMark/>
          </w:tcPr>
          <w:p w:rsidR="009B458B" w:rsidRPr="00D573F3" w:rsidRDefault="009B458B">
            <w:pPr>
              <w:pStyle w:val="Zkladntext"/>
              <w:ind w:hanging="53"/>
              <w:rPr>
                <w:rFonts w:ascii="Times New Roman" w:hAnsi="Times New Roman"/>
                <w:sz w:val="28"/>
                <w:szCs w:val="28"/>
              </w:rPr>
            </w:pPr>
            <w:r w:rsidRPr="00D573F3">
              <w:rPr>
                <w:rFonts w:ascii="Times New Roman" w:hAnsi="Times New Roman"/>
                <w:b/>
                <w:sz w:val="28"/>
                <w:szCs w:val="28"/>
              </w:rPr>
              <w:t xml:space="preserve">pro zasedání </w:t>
            </w:r>
          </w:p>
        </w:tc>
      </w:tr>
      <w:tr w:rsidR="009B458B" w:rsidRPr="00D573F3" w:rsidTr="009B458B">
        <w:trPr>
          <w:trHeight w:val="345"/>
        </w:trPr>
        <w:tc>
          <w:tcPr>
            <w:tcW w:w="9089" w:type="dxa"/>
            <w:gridSpan w:val="4"/>
            <w:vAlign w:val="bottom"/>
            <w:hideMark/>
          </w:tcPr>
          <w:p w:rsidR="009B458B" w:rsidRPr="00D573F3" w:rsidRDefault="009B458B" w:rsidP="00A92C85">
            <w:pPr>
              <w:pStyle w:val="Zkladntext"/>
              <w:ind w:hanging="53"/>
              <w:rPr>
                <w:rFonts w:ascii="Times New Roman" w:hAnsi="Times New Roman"/>
                <w:b/>
                <w:sz w:val="28"/>
                <w:szCs w:val="28"/>
              </w:rPr>
            </w:pPr>
            <w:r w:rsidRPr="00D573F3">
              <w:rPr>
                <w:rFonts w:ascii="Times New Roman" w:hAnsi="Times New Roman"/>
                <w:b/>
                <w:sz w:val="28"/>
                <w:szCs w:val="28"/>
              </w:rPr>
              <w:t xml:space="preserve">Zastupitelstva města Prostějova konané dne </w:t>
            </w:r>
            <w:r w:rsidR="00A92C85">
              <w:rPr>
                <w:rFonts w:ascii="Times New Roman" w:hAnsi="Times New Roman"/>
                <w:b/>
                <w:sz w:val="28"/>
                <w:szCs w:val="28"/>
              </w:rPr>
              <w:t>12. 6</w:t>
            </w:r>
            <w:r w:rsidR="00FA1BF6">
              <w:rPr>
                <w:rFonts w:ascii="Times New Roman" w:hAnsi="Times New Roman"/>
                <w:b/>
                <w:sz w:val="28"/>
                <w:szCs w:val="28"/>
              </w:rPr>
              <w:t>. 2017</w:t>
            </w:r>
          </w:p>
        </w:tc>
      </w:tr>
      <w:tr w:rsidR="009B458B" w:rsidRPr="00D573F3" w:rsidTr="009B458B">
        <w:trPr>
          <w:trHeight w:val="125"/>
        </w:trPr>
        <w:tc>
          <w:tcPr>
            <w:tcW w:w="9089" w:type="dxa"/>
            <w:gridSpan w:val="4"/>
          </w:tcPr>
          <w:p w:rsidR="009B458B" w:rsidRPr="00D573F3" w:rsidRDefault="009B458B">
            <w:pPr>
              <w:jc w:val="right"/>
              <w:rPr>
                <w:rFonts w:ascii="Times New Roman" w:hAnsi="Times New Roman"/>
              </w:rPr>
            </w:pPr>
          </w:p>
        </w:tc>
      </w:tr>
      <w:tr w:rsidR="009B458B" w:rsidRPr="00D573F3" w:rsidTr="009B458B">
        <w:trPr>
          <w:trHeight w:val="80"/>
        </w:trPr>
        <w:tc>
          <w:tcPr>
            <w:tcW w:w="9089" w:type="dxa"/>
            <w:gridSpan w:val="4"/>
          </w:tcPr>
          <w:p w:rsidR="009B458B" w:rsidRPr="00D573F3" w:rsidRDefault="009B458B">
            <w:pPr>
              <w:rPr>
                <w:rFonts w:ascii="Times New Roman" w:hAnsi="Times New Roman"/>
              </w:rPr>
            </w:pPr>
          </w:p>
        </w:tc>
      </w:tr>
      <w:tr w:rsidR="009B458B" w:rsidRPr="00D573F3" w:rsidTr="009B458B">
        <w:tc>
          <w:tcPr>
            <w:tcW w:w="2285" w:type="dxa"/>
          </w:tcPr>
          <w:p w:rsidR="009B458B" w:rsidRPr="00D573F3" w:rsidRDefault="009B458B">
            <w:pPr>
              <w:pStyle w:val="Datum"/>
              <w:ind w:hanging="53"/>
              <w:rPr>
                <w:rFonts w:ascii="Times New Roman" w:hAnsi="Times New Roman"/>
                <w:b/>
                <w:bCs/>
                <w:szCs w:val="24"/>
              </w:rPr>
            </w:pPr>
          </w:p>
          <w:p w:rsidR="009B458B" w:rsidRPr="00D573F3" w:rsidRDefault="009B458B">
            <w:pPr>
              <w:pStyle w:val="Datum"/>
              <w:ind w:hanging="53"/>
              <w:rPr>
                <w:rFonts w:ascii="Times New Roman" w:hAnsi="Times New Roman"/>
                <w:b/>
                <w:bCs/>
                <w:szCs w:val="24"/>
              </w:rPr>
            </w:pPr>
            <w:r w:rsidRPr="00D573F3">
              <w:rPr>
                <w:rFonts w:ascii="Times New Roman" w:hAnsi="Times New Roman"/>
                <w:b/>
                <w:bCs/>
                <w:szCs w:val="24"/>
              </w:rPr>
              <w:t>Název materiálu:</w:t>
            </w:r>
          </w:p>
        </w:tc>
        <w:tc>
          <w:tcPr>
            <w:tcW w:w="6804" w:type="dxa"/>
            <w:gridSpan w:val="3"/>
          </w:tcPr>
          <w:p w:rsidR="009B458B" w:rsidRPr="00D573F3" w:rsidRDefault="009B458B">
            <w:pPr>
              <w:jc w:val="both"/>
              <w:rPr>
                <w:rFonts w:ascii="Times New Roman" w:hAnsi="Times New Roman"/>
                <w:b/>
                <w:bCs/>
                <w:szCs w:val="24"/>
              </w:rPr>
            </w:pPr>
          </w:p>
          <w:p w:rsidR="00A92C85" w:rsidRDefault="00A92C85" w:rsidP="00A92C85">
            <w:pPr>
              <w:ind w:left="2265" w:hanging="2265"/>
              <w:jc w:val="both"/>
              <w:rPr>
                <w:rFonts w:ascii="Times New Roman" w:hAnsi="Times New Roman"/>
                <w:b/>
                <w:szCs w:val="24"/>
              </w:rPr>
            </w:pPr>
            <w:r>
              <w:rPr>
                <w:rFonts w:ascii="Times New Roman" w:hAnsi="Times New Roman"/>
                <w:b/>
                <w:szCs w:val="24"/>
              </w:rPr>
              <w:t>Návrh obecně závazné vyhlášky o regulaci provozování</w:t>
            </w:r>
          </w:p>
          <w:p w:rsidR="00A92C85" w:rsidRPr="00E30881" w:rsidRDefault="00A92C85" w:rsidP="00A92C85">
            <w:pPr>
              <w:ind w:left="2265" w:hanging="2265"/>
              <w:jc w:val="both"/>
              <w:rPr>
                <w:rFonts w:ascii="Times New Roman" w:hAnsi="Times New Roman"/>
                <w:b/>
                <w:szCs w:val="24"/>
              </w:rPr>
            </w:pPr>
            <w:r w:rsidRPr="00E30881">
              <w:rPr>
                <w:rFonts w:ascii="Times New Roman" w:hAnsi="Times New Roman"/>
                <w:b/>
                <w:szCs w:val="24"/>
              </w:rPr>
              <w:t xml:space="preserve">hazardních her </w:t>
            </w:r>
          </w:p>
          <w:p w:rsidR="009B458B" w:rsidRPr="00D573F3" w:rsidRDefault="009B458B" w:rsidP="00A92C85">
            <w:pPr>
              <w:ind w:left="2265" w:hanging="2265"/>
              <w:jc w:val="both"/>
              <w:rPr>
                <w:rFonts w:ascii="Times New Roman" w:hAnsi="Times New Roman"/>
                <w:b/>
                <w:szCs w:val="24"/>
              </w:rPr>
            </w:pPr>
          </w:p>
        </w:tc>
      </w:tr>
      <w:tr w:rsidR="009B458B" w:rsidRPr="00D573F3" w:rsidTr="009B458B">
        <w:tc>
          <w:tcPr>
            <w:tcW w:w="2285" w:type="dxa"/>
          </w:tcPr>
          <w:p w:rsidR="009B458B" w:rsidRPr="00D573F3" w:rsidRDefault="009B458B">
            <w:pPr>
              <w:pStyle w:val="Textmakra"/>
              <w:tabs>
                <w:tab w:val="clear" w:pos="480"/>
                <w:tab w:val="left" w:pos="708"/>
              </w:tabs>
              <w:rPr>
                <w:sz w:val="24"/>
                <w:szCs w:val="24"/>
              </w:rPr>
            </w:pPr>
          </w:p>
        </w:tc>
        <w:tc>
          <w:tcPr>
            <w:tcW w:w="6804" w:type="dxa"/>
            <w:gridSpan w:val="3"/>
          </w:tcPr>
          <w:p w:rsidR="009B458B" w:rsidRPr="00D573F3" w:rsidRDefault="009B458B">
            <w:pPr>
              <w:jc w:val="both"/>
              <w:rPr>
                <w:rFonts w:ascii="Times New Roman" w:hAnsi="Times New Roman"/>
                <w:szCs w:val="24"/>
              </w:rPr>
            </w:pPr>
          </w:p>
        </w:tc>
      </w:tr>
      <w:tr w:rsidR="009B458B" w:rsidRPr="00D573F3" w:rsidTr="009B458B">
        <w:tc>
          <w:tcPr>
            <w:tcW w:w="2285" w:type="dxa"/>
          </w:tcPr>
          <w:p w:rsidR="009B458B" w:rsidRPr="00D573F3" w:rsidRDefault="009B458B" w:rsidP="009B458B">
            <w:pPr>
              <w:rPr>
                <w:rFonts w:ascii="Times New Roman" w:hAnsi="Times New Roman"/>
                <w:b/>
                <w:bCs/>
                <w:szCs w:val="24"/>
              </w:rPr>
            </w:pPr>
          </w:p>
          <w:p w:rsidR="009B458B" w:rsidRPr="00D573F3" w:rsidRDefault="009B458B" w:rsidP="009B458B">
            <w:pPr>
              <w:ind w:hanging="53"/>
              <w:rPr>
                <w:rFonts w:ascii="Times New Roman" w:hAnsi="Times New Roman"/>
                <w:b/>
                <w:bCs/>
                <w:szCs w:val="24"/>
              </w:rPr>
            </w:pPr>
            <w:r w:rsidRPr="00D573F3">
              <w:rPr>
                <w:rFonts w:ascii="Times New Roman" w:hAnsi="Times New Roman"/>
                <w:b/>
                <w:bCs/>
                <w:szCs w:val="24"/>
              </w:rPr>
              <w:t>Předkládá:</w:t>
            </w:r>
          </w:p>
        </w:tc>
        <w:tc>
          <w:tcPr>
            <w:tcW w:w="6804" w:type="dxa"/>
            <w:gridSpan w:val="3"/>
          </w:tcPr>
          <w:p w:rsidR="00D573F3" w:rsidRPr="00D573F3" w:rsidRDefault="00D573F3" w:rsidP="009B458B">
            <w:pPr>
              <w:rPr>
                <w:rFonts w:ascii="Times New Roman" w:hAnsi="Times New Roman"/>
                <w:szCs w:val="24"/>
              </w:rPr>
            </w:pPr>
          </w:p>
          <w:p w:rsidR="009B458B" w:rsidRPr="00D573F3" w:rsidRDefault="00D573F3" w:rsidP="009B458B">
            <w:pPr>
              <w:rPr>
                <w:rFonts w:ascii="Times New Roman" w:hAnsi="Times New Roman"/>
                <w:szCs w:val="24"/>
              </w:rPr>
            </w:pPr>
            <w:r w:rsidRPr="00D573F3">
              <w:rPr>
                <w:rFonts w:ascii="Times New Roman" w:hAnsi="Times New Roman"/>
                <w:szCs w:val="24"/>
              </w:rPr>
              <w:t>Rada města Prostějova</w:t>
            </w:r>
          </w:p>
        </w:tc>
      </w:tr>
      <w:tr w:rsidR="009B458B" w:rsidRPr="00D573F3" w:rsidTr="009B458B">
        <w:tc>
          <w:tcPr>
            <w:tcW w:w="2285" w:type="dxa"/>
          </w:tcPr>
          <w:p w:rsidR="009B458B" w:rsidRPr="00D573F3" w:rsidRDefault="009B458B" w:rsidP="009B458B">
            <w:pPr>
              <w:rPr>
                <w:rFonts w:ascii="Times New Roman" w:hAnsi="Times New Roman"/>
                <w:b/>
                <w:bCs/>
                <w:szCs w:val="24"/>
              </w:rPr>
            </w:pPr>
          </w:p>
        </w:tc>
        <w:tc>
          <w:tcPr>
            <w:tcW w:w="6804" w:type="dxa"/>
            <w:gridSpan w:val="3"/>
          </w:tcPr>
          <w:p w:rsidR="009B458B" w:rsidRPr="00D573F3" w:rsidRDefault="009B458B" w:rsidP="00193780">
            <w:pPr>
              <w:jc w:val="both"/>
              <w:rPr>
                <w:rFonts w:ascii="Times New Roman" w:hAnsi="Times New Roman"/>
                <w:szCs w:val="24"/>
              </w:rPr>
            </w:pPr>
            <w:r w:rsidRPr="00D573F3">
              <w:rPr>
                <w:rFonts w:ascii="Times New Roman" w:hAnsi="Times New Roman"/>
                <w:szCs w:val="24"/>
              </w:rPr>
              <w:t>RNDr. Alena Rašková, primátorka</w:t>
            </w:r>
            <w:r w:rsidR="00D573F3" w:rsidRPr="00D573F3">
              <w:rPr>
                <w:rFonts w:ascii="Times New Roman" w:hAnsi="Times New Roman"/>
                <w:szCs w:val="24"/>
              </w:rPr>
              <w:t xml:space="preserve"> statutárního města Prostějova</w:t>
            </w:r>
            <w:r w:rsidR="002C6E68">
              <w:rPr>
                <w:rFonts w:ascii="Times New Roman" w:hAnsi="Times New Roman"/>
                <w:szCs w:val="24"/>
              </w:rPr>
              <w:t>, v.r.</w:t>
            </w:r>
          </w:p>
        </w:tc>
      </w:tr>
      <w:tr w:rsidR="009B458B" w:rsidRPr="00D573F3" w:rsidTr="009B458B">
        <w:trPr>
          <w:cantSplit/>
        </w:trPr>
        <w:tc>
          <w:tcPr>
            <w:tcW w:w="9089" w:type="dxa"/>
            <w:gridSpan w:val="4"/>
          </w:tcPr>
          <w:p w:rsidR="009B458B" w:rsidRPr="00D573F3" w:rsidRDefault="009B458B">
            <w:pPr>
              <w:pStyle w:val="Textmakra"/>
              <w:tabs>
                <w:tab w:val="clear" w:pos="480"/>
                <w:tab w:val="left" w:pos="708"/>
              </w:tabs>
              <w:rPr>
                <w:sz w:val="24"/>
                <w:szCs w:val="24"/>
              </w:rPr>
            </w:pPr>
          </w:p>
        </w:tc>
      </w:tr>
      <w:tr w:rsidR="009B458B" w:rsidRPr="00D573F3" w:rsidTr="009B458B">
        <w:trPr>
          <w:cantSplit/>
        </w:trPr>
        <w:tc>
          <w:tcPr>
            <w:tcW w:w="9089" w:type="dxa"/>
            <w:gridSpan w:val="4"/>
            <w:hideMark/>
          </w:tcPr>
          <w:p w:rsidR="009B458B" w:rsidRPr="00D573F3" w:rsidRDefault="009B458B">
            <w:pPr>
              <w:ind w:left="-53"/>
              <w:rPr>
                <w:rFonts w:ascii="Times New Roman" w:hAnsi="Times New Roman"/>
                <w:b/>
                <w:bCs/>
                <w:szCs w:val="24"/>
              </w:rPr>
            </w:pPr>
            <w:r w:rsidRPr="00D573F3">
              <w:rPr>
                <w:rFonts w:ascii="Times New Roman" w:hAnsi="Times New Roman"/>
                <w:b/>
                <w:bCs/>
                <w:szCs w:val="24"/>
              </w:rPr>
              <w:t>Návrh usnesení:</w:t>
            </w:r>
          </w:p>
        </w:tc>
      </w:tr>
      <w:tr w:rsidR="009B458B" w:rsidRPr="00D573F3" w:rsidTr="009B458B">
        <w:trPr>
          <w:cantSplit/>
        </w:trPr>
        <w:tc>
          <w:tcPr>
            <w:tcW w:w="9089" w:type="dxa"/>
            <w:gridSpan w:val="4"/>
          </w:tcPr>
          <w:p w:rsidR="009B458B" w:rsidRPr="00D573F3" w:rsidRDefault="009B458B">
            <w:pPr>
              <w:pStyle w:val="Textmakra"/>
              <w:tabs>
                <w:tab w:val="clear" w:pos="480"/>
                <w:tab w:val="left" w:pos="708"/>
              </w:tabs>
              <w:rPr>
                <w:sz w:val="19"/>
                <w:szCs w:val="19"/>
              </w:rPr>
            </w:pPr>
          </w:p>
        </w:tc>
      </w:tr>
    </w:tbl>
    <w:p w:rsidR="009B458B" w:rsidRPr="00D573F3" w:rsidRDefault="009B458B" w:rsidP="009B458B">
      <w:pPr>
        <w:pStyle w:val="Zkladntext31"/>
        <w:rPr>
          <w:rFonts w:cs="Times New Roman"/>
          <w:bCs/>
          <w:sz w:val="24"/>
          <w:szCs w:val="24"/>
        </w:rPr>
      </w:pPr>
      <w:r w:rsidRPr="00D573F3">
        <w:rPr>
          <w:rFonts w:cs="Times New Roman"/>
          <w:bCs/>
          <w:sz w:val="24"/>
          <w:szCs w:val="24"/>
        </w:rPr>
        <w:t xml:space="preserve">Zastupitelstvo města Prostějova </w:t>
      </w:r>
    </w:p>
    <w:p w:rsidR="009B458B" w:rsidRPr="00D573F3" w:rsidRDefault="009E298B" w:rsidP="009B458B">
      <w:pPr>
        <w:pStyle w:val="Bezmezer"/>
        <w:jc w:val="both"/>
        <w:rPr>
          <w:rFonts w:ascii="Times New Roman" w:hAnsi="Times New Roman"/>
          <w:b/>
          <w:szCs w:val="24"/>
        </w:rPr>
      </w:pPr>
      <w:r>
        <w:rPr>
          <w:rFonts w:ascii="Times New Roman" w:hAnsi="Times New Roman"/>
          <w:b/>
          <w:bCs/>
          <w:szCs w:val="24"/>
        </w:rPr>
        <w:t xml:space="preserve">v y d á v á </w:t>
      </w:r>
    </w:p>
    <w:p w:rsidR="00A92C85" w:rsidRPr="00311AD9" w:rsidRDefault="00A92C85" w:rsidP="00A92C85">
      <w:pPr>
        <w:spacing w:after="120"/>
        <w:rPr>
          <w:rFonts w:ascii="Times New Roman" w:hAnsi="Times New Roman"/>
          <w:b/>
          <w:szCs w:val="24"/>
        </w:rPr>
      </w:pPr>
      <w:r w:rsidRPr="009E5551">
        <w:rPr>
          <w:rFonts w:ascii="Times New Roman" w:hAnsi="Times New Roman"/>
          <w:b/>
          <w:bCs/>
        </w:rPr>
        <w:t xml:space="preserve">obecně závaznou vyhlášku </w:t>
      </w:r>
      <w:r w:rsidRPr="008F391B">
        <w:rPr>
          <w:rFonts w:ascii="Times New Roman" w:hAnsi="Times New Roman"/>
          <w:b/>
          <w:szCs w:val="24"/>
        </w:rPr>
        <w:t>o regulaci provozování hazardních her</w:t>
      </w:r>
      <w:r>
        <w:rPr>
          <w:rFonts w:ascii="Times New Roman" w:hAnsi="Times New Roman"/>
          <w:b/>
          <w:szCs w:val="24"/>
        </w:rPr>
        <w:t xml:space="preserve"> </w:t>
      </w:r>
      <w:r w:rsidRPr="009E5551">
        <w:rPr>
          <w:rFonts w:ascii="Times New Roman" w:hAnsi="Times New Roman"/>
          <w:b/>
          <w:bCs/>
        </w:rPr>
        <w:t xml:space="preserve">na území </w:t>
      </w:r>
      <w:r>
        <w:rPr>
          <w:rFonts w:ascii="Times New Roman" w:hAnsi="Times New Roman"/>
          <w:b/>
          <w:bCs/>
        </w:rPr>
        <w:t xml:space="preserve">statutárního </w:t>
      </w:r>
      <w:r w:rsidRPr="009E5551">
        <w:rPr>
          <w:rFonts w:ascii="Times New Roman" w:hAnsi="Times New Roman"/>
          <w:b/>
          <w:bCs/>
        </w:rPr>
        <w:t xml:space="preserve">města Prostějova </w:t>
      </w:r>
      <w:r>
        <w:rPr>
          <w:rFonts w:ascii="Times New Roman" w:hAnsi="Times New Roman"/>
          <w:b/>
          <w:bCs/>
        </w:rPr>
        <w:t xml:space="preserve">ve znění dle přílohy č. 1 </w:t>
      </w:r>
    </w:p>
    <w:p w:rsidR="00FA1BF6" w:rsidRDefault="00FA1BF6" w:rsidP="009E298B">
      <w:pPr>
        <w:jc w:val="both"/>
        <w:rPr>
          <w:rFonts w:ascii="Times New Roman" w:hAnsi="Times New Roman"/>
          <w:b/>
          <w:szCs w:val="24"/>
        </w:rPr>
      </w:pPr>
    </w:p>
    <w:p w:rsidR="009E298B" w:rsidRPr="00B878CB" w:rsidRDefault="009E298B" w:rsidP="009E298B">
      <w:pPr>
        <w:jc w:val="both"/>
        <w:rPr>
          <w:rFonts w:ascii="Times New Roman" w:hAnsi="Times New Roman"/>
          <w:b/>
          <w:szCs w:val="24"/>
        </w:rPr>
      </w:pPr>
    </w:p>
    <w:p w:rsidR="009B458B" w:rsidRPr="00D573F3" w:rsidRDefault="009B458B" w:rsidP="009B458B">
      <w:pPr>
        <w:jc w:val="both"/>
        <w:rPr>
          <w:rFonts w:ascii="Times New Roman" w:hAnsi="Times New Roman"/>
          <w:sz w:val="19"/>
          <w:szCs w:val="19"/>
        </w:rPr>
      </w:pPr>
    </w:p>
    <w:p w:rsidR="00A92C85" w:rsidRPr="00E30881" w:rsidRDefault="00A92C85" w:rsidP="00A92C85">
      <w:pPr>
        <w:rPr>
          <w:rFonts w:ascii="Times New Roman" w:hAnsi="Times New Roman"/>
          <w:b/>
          <w:szCs w:val="24"/>
          <w:u w:val="single"/>
        </w:rPr>
      </w:pPr>
      <w:r w:rsidRPr="00E30881">
        <w:rPr>
          <w:rFonts w:ascii="Times New Roman" w:hAnsi="Times New Roman"/>
          <w:b/>
          <w:szCs w:val="24"/>
          <w:u w:val="single"/>
        </w:rPr>
        <w:t>Důvodová zpráva:</w:t>
      </w: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szCs w:val="24"/>
        </w:rPr>
      </w:pPr>
      <w:r w:rsidRPr="0042758E">
        <w:rPr>
          <w:szCs w:val="24"/>
        </w:rPr>
        <w:t>Dne 1. 1. 2017 nabyl účinnosti zákon č. 186/2016 Sb., o hazardních hrách (</w:t>
      </w:r>
      <w:r>
        <w:rPr>
          <w:szCs w:val="24"/>
        </w:rPr>
        <w:t>dále jen „zákon o hazardu</w:t>
      </w:r>
      <w:r w:rsidRPr="0042758E">
        <w:rPr>
          <w:szCs w:val="24"/>
        </w:rPr>
        <w:t xml:space="preserve">“), který nahradil stávající zákon č. 202/1990 Sb., o loteriích a jiných podobných hrách (dále jen „zákon o loteriích“). </w:t>
      </w:r>
    </w:p>
    <w:p w:rsidR="00A92C85" w:rsidRPr="0042758E"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sidRPr="0042758E">
        <w:rPr>
          <w:szCs w:val="24"/>
        </w:rPr>
        <w:t xml:space="preserve">Statutární město Prostějov v současnosti reguluje místa provozování sázkových her, loterií a jiných podobných her na základě obecně závazné vyhlášky č. 2/2012, kterou se stanovují místa na území města Prostějova, na kterých lze provozovat sázkové hry a loterie a jiné podobné hry (dále jen „OZV č. 2/2012“). </w:t>
      </w:r>
    </w:p>
    <w:p w:rsidR="00A92C85" w:rsidRPr="0042758E"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sidRPr="00C3452A">
        <w:rPr>
          <w:b/>
          <w:szCs w:val="24"/>
        </w:rPr>
        <w:t xml:space="preserve">V souladu s přechodným ustanovením obsaženým v § 138 odst. 2 zákona o hazardu zůstává stávající OZV č. 2/2012 po neomezenou dobu v platnosti i po zrušení zákon o loteriích. </w:t>
      </w:r>
      <w:r w:rsidRPr="0042758E">
        <w:rPr>
          <w:szCs w:val="24"/>
        </w:rPr>
        <w:t>Zákon o hazardu v</w:t>
      </w:r>
      <w:r>
        <w:rPr>
          <w:szCs w:val="24"/>
        </w:rPr>
        <w:t xml:space="preserve"> § 12 odst. 1 </w:t>
      </w:r>
      <w:r w:rsidRPr="0042758E">
        <w:rPr>
          <w:szCs w:val="24"/>
        </w:rPr>
        <w:t xml:space="preserve">obdobně jako zákon o loteriích zmocňuje obec vydat obecně závaznou vyhlášku, kterou je možné regulovat provoz v zákoně vymezených hazardních her pouze na určitých místech či v určitém čase, anebo provoz těchto her na celém území obce zakázat.  </w:t>
      </w:r>
    </w:p>
    <w:p w:rsidR="00A92C85" w:rsidRPr="0042758E" w:rsidRDefault="00A92C85" w:rsidP="00A92C85">
      <w:pPr>
        <w:pStyle w:val="NormlnIMP"/>
        <w:spacing w:after="60" w:line="240" w:lineRule="auto"/>
        <w:rPr>
          <w:szCs w:val="24"/>
        </w:rPr>
      </w:pPr>
    </w:p>
    <w:p w:rsidR="00A92C85" w:rsidRPr="0042758E" w:rsidRDefault="00A92C85" w:rsidP="00A92C85">
      <w:pPr>
        <w:pStyle w:val="NormlnIMP"/>
        <w:spacing w:after="60" w:line="240" w:lineRule="auto"/>
        <w:rPr>
          <w:szCs w:val="24"/>
        </w:rPr>
      </w:pPr>
      <w:r w:rsidRPr="0042758E">
        <w:rPr>
          <w:szCs w:val="24"/>
        </w:rPr>
        <w:t>Stávající regulace hazardu je dle OZV č. 2/2012 založena na pozitivním výčtu adresních veřejně přístupných míst na území statutárního města Prostějova, na kterých lze provozovat uvedené sázkové hry, loterie a jiné podobné hry (dle nové právní úpravy označované jako hazardní hry). Tato adresní místa jsou uvedena v příloze OZV č. 2/2012. Tento způsob regulace se však stal předmětem dotazu Úřadu na ochranu hospodářské soutěže (dále jen ÚOHS), který v rámci své dozorové činnosti nad průběhem hospodářské soutěže</w:t>
      </w:r>
      <w:r>
        <w:rPr>
          <w:szCs w:val="24"/>
        </w:rPr>
        <w:t>,</w:t>
      </w:r>
      <w:r w:rsidRPr="0042758E">
        <w:rPr>
          <w:szCs w:val="24"/>
        </w:rPr>
        <w:t xml:space="preserve"> dopisem ze dne 21. 12. 2016 požádat statutární město Prostějov o zaslání informací a podkladů k objasnění cíle a způsobu regulace hazardních her na území města. ÚOHS zejména požadoval zdůvodnit cíl regulace, dále vysvětlit vztah proporcionality mezi zvoleným cílem a způsobem regulace a doložit, že zvolený způsob regulace nepůsobí diskriminačně vůči soutěžitelům, kteří se na trhu nacházejí či na něj uvažují vstoupit.</w:t>
      </w:r>
      <w:r>
        <w:rPr>
          <w:szCs w:val="24"/>
        </w:rPr>
        <w:t xml:space="preserve"> Magistrát města Prostějova se k žádosti ÚOHS vyjádřil dne 9.1.2017.</w:t>
      </w:r>
      <w:r w:rsidRPr="0042758E">
        <w:rPr>
          <w:szCs w:val="24"/>
        </w:rPr>
        <w:t xml:space="preserve"> Správní řízení se statutárním městem Prostějovem dosud ze strany ÚOHS nebylo zahájeno. Pokud by se tak stalo a ÚOHS by shledal, že statutární město vydáním obecně závazné vyhlášky narušilo hospodářskou soutěž, je oprávněn uložit za takový správní delikt v souladu s </w:t>
      </w:r>
      <w:proofErr w:type="spellStart"/>
      <w:r w:rsidRPr="0042758E">
        <w:rPr>
          <w:szCs w:val="24"/>
        </w:rPr>
        <w:t>ust</w:t>
      </w:r>
      <w:proofErr w:type="spellEnd"/>
      <w:r w:rsidRPr="0042758E">
        <w:rPr>
          <w:szCs w:val="24"/>
        </w:rPr>
        <w:t xml:space="preserve">. § 22aa odst. 2 zákona č. 143/2001 Sb., o ochraně hospodářské soutěže a o změně některých zákonů pokutu až do výše 10 000 000 Kč. </w:t>
      </w:r>
      <w:r>
        <w:rPr>
          <w:rFonts w:eastAsia="Calibri"/>
          <w:szCs w:val="24"/>
        </w:rPr>
        <w:t xml:space="preserve">ÚOHS se k odpovědi města Prostějova ze dne 9.1.2017 dosud nijak nevyjádřil. </w:t>
      </w:r>
    </w:p>
    <w:p w:rsidR="00A92C85" w:rsidRPr="0042758E" w:rsidRDefault="00A92C85" w:rsidP="00A92C85">
      <w:pPr>
        <w:pStyle w:val="NormlnIMP"/>
        <w:spacing w:after="60" w:line="240" w:lineRule="auto"/>
        <w:rPr>
          <w:szCs w:val="24"/>
        </w:rPr>
      </w:pPr>
    </w:p>
    <w:p w:rsidR="00A92C85" w:rsidRPr="0042758E" w:rsidRDefault="00A92C85" w:rsidP="00A92C85">
      <w:pPr>
        <w:pStyle w:val="NormlnIMP"/>
        <w:spacing w:after="60" w:line="240" w:lineRule="auto"/>
        <w:rPr>
          <w:szCs w:val="24"/>
        </w:rPr>
      </w:pPr>
      <w:r w:rsidRPr="0042758E">
        <w:rPr>
          <w:szCs w:val="24"/>
        </w:rPr>
        <w:t>ÚOHS ve svém stanovisku</w:t>
      </w:r>
      <w:r w:rsidRPr="00C674A8">
        <w:rPr>
          <w:szCs w:val="24"/>
        </w:rPr>
        <w:t xml:space="preserve"> </w:t>
      </w:r>
      <w:r w:rsidRPr="0042758E">
        <w:rPr>
          <w:szCs w:val="24"/>
        </w:rPr>
        <w:t xml:space="preserve">ze dne 1. 9. 2014 </w:t>
      </w:r>
      <w:r>
        <w:rPr>
          <w:szCs w:val="24"/>
        </w:rPr>
        <w:t xml:space="preserve">vydaném </w:t>
      </w:r>
      <w:r w:rsidRPr="0042758E">
        <w:rPr>
          <w:szCs w:val="24"/>
        </w:rPr>
        <w:t>k regulaci provozu loterií a jiných podobných her obcemi postup regulace zvolený statuárním městem Prostějovem výslovně nevylučuje. Pouze požaduje, aby byla obec „</w:t>
      </w:r>
      <w:r w:rsidRPr="0042758E">
        <w:rPr>
          <w:i/>
          <w:szCs w:val="24"/>
        </w:rPr>
        <w:t>sto prokázat, proč je povolení pouze určitého počtu provozoven (např. 3) postačující k dosažení legitimního zájmu obce – v zásadě ochrany veřejného pořádku, ale proč by vyšší počet (např. 4) již naplnění takového zájmu neumožnil, stejně jako vysvětlit, podle jakého kritéria byly vybrány právě tyto provozovny. Současně by bylo nezbytné prokázat, že zvoleným postupem nedochází k diskriminaci soutěžitelů, kteří na trhu již působí, ani těch, kteří by na něj zamýšleli vstoupit</w:t>
      </w:r>
      <w:r w:rsidRPr="0042758E">
        <w:rPr>
          <w:szCs w:val="24"/>
        </w:rPr>
        <w:t>.“</w:t>
      </w:r>
    </w:p>
    <w:p w:rsidR="00A92C85" w:rsidRPr="0042758E" w:rsidRDefault="00A92C85" w:rsidP="00A92C85">
      <w:pPr>
        <w:pStyle w:val="NormlnIMP"/>
        <w:spacing w:after="60" w:line="240" w:lineRule="auto"/>
        <w:rPr>
          <w:szCs w:val="24"/>
        </w:rPr>
      </w:pPr>
    </w:p>
    <w:p w:rsidR="00A92C85" w:rsidRDefault="00A92C85" w:rsidP="00A92C85">
      <w:pPr>
        <w:autoSpaceDE w:val="0"/>
        <w:autoSpaceDN w:val="0"/>
        <w:adjustRightInd w:val="0"/>
        <w:jc w:val="both"/>
        <w:rPr>
          <w:rFonts w:ascii="Times New Roman" w:eastAsia="Calibri" w:hAnsi="Times New Roman"/>
          <w:szCs w:val="24"/>
        </w:rPr>
      </w:pPr>
      <w:r w:rsidRPr="0042758E">
        <w:rPr>
          <w:rFonts w:ascii="Times New Roman" w:hAnsi="Times New Roman"/>
          <w:szCs w:val="24"/>
        </w:rPr>
        <w:t xml:space="preserve">Stejně Ministerstvo vnitra ČR </w:t>
      </w:r>
      <w:r>
        <w:rPr>
          <w:rFonts w:ascii="Times New Roman" w:hAnsi="Times New Roman"/>
          <w:szCs w:val="24"/>
        </w:rPr>
        <w:t xml:space="preserve">(dále jen „MV“) </w:t>
      </w:r>
      <w:r w:rsidRPr="0042758E">
        <w:rPr>
          <w:rFonts w:ascii="Times New Roman" w:hAnsi="Times New Roman"/>
          <w:szCs w:val="24"/>
        </w:rPr>
        <w:t xml:space="preserve">ve svém aktuálním právním výkladu </w:t>
      </w:r>
      <w:r w:rsidRPr="0042758E">
        <w:rPr>
          <w:rFonts w:ascii="Times New Roman" w:eastAsia="Calibri" w:hAnsi="Times New Roman"/>
          <w:bCs/>
          <w:szCs w:val="24"/>
        </w:rPr>
        <w:t>k obecně závazným vyhláškám regulujícím provozování některých hazardních her na území obce ze dne 1. 9. 2016 možnost určení adresních míst provozoven nevylučuje. Pouze k tomu uvádí, že se „</w:t>
      </w:r>
      <w:r w:rsidRPr="0042758E">
        <w:rPr>
          <w:rFonts w:ascii="Times New Roman" w:eastAsia="Calibri" w:hAnsi="Times New Roman"/>
          <w:i/>
          <w:szCs w:val="24"/>
        </w:rPr>
        <w:t>nejeví jako vhodné vymezovat v obecn</w:t>
      </w:r>
      <w:r w:rsidRPr="0042758E">
        <w:rPr>
          <w:rFonts w:ascii="Times New Roman" w:eastAsia="Arial-OneByteIdentityH" w:hAnsi="Times New Roman"/>
          <w:i/>
          <w:szCs w:val="24"/>
        </w:rPr>
        <w:t xml:space="preserve">ě </w:t>
      </w:r>
      <w:r w:rsidRPr="0042758E">
        <w:rPr>
          <w:rFonts w:ascii="Times New Roman" w:eastAsia="Calibri" w:hAnsi="Times New Roman"/>
          <w:i/>
          <w:szCs w:val="24"/>
        </w:rPr>
        <w:t xml:space="preserve">závazné vyhlášce místa s uvedením konkrétních adres (ulice s </w:t>
      </w:r>
      <w:r w:rsidRPr="0042758E">
        <w:rPr>
          <w:rFonts w:ascii="Times New Roman" w:eastAsia="Arial-OneByteIdentityH" w:hAnsi="Times New Roman"/>
          <w:i/>
          <w:szCs w:val="24"/>
        </w:rPr>
        <w:t>č</w:t>
      </w:r>
      <w:r w:rsidRPr="0042758E">
        <w:rPr>
          <w:rFonts w:ascii="Times New Roman" w:eastAsia="Calibri" w:hAnsi="Times New Roman"/>
          <w:i/>
          <w:szCs w:val="24"/>
        </w:rPr>
        <w:t>íslem popisným)</w:t>
      </w:r>
      <w:r w:rsidRPr="0042758E">
        <w:rPr>
          <w:rFonts w:ascii="Times New Roman" w:eastAsia="Arial-OneByteIdentityH" w:hAnsi="Times New Roman"/>
          <w:i/>
          <w:szCs w:val="24"/>
        </w:rPr>
        <w:t xml:space="preserve"> </w:t>
      </w:r>
      <w:r w:rsidRPr="0042758E">
        <w:rPr>
          <w:rFonts w:ascii="Times New Roman" w:eastAsia="Calibri" w:hAnsi="Times New Roman"/>
          <w:i/>
          <w:szCs w:val="24"/>
        </w:rPr>
        <w:t>nebo názvu provozoven, nebo</w:t>
      </w:r>
      <w:r w:rsidRPr="0042758E">
        <w:rPr>
          <w:rFonts w:ascii="Times New Roman" w:eastAsia="Arial-OneByteIdentityH" w:hAnsi="Times New Roman"/>
          <w:i/>
          <w:szCs w:val="24"/>
        </w:rPr>
        <w:t xml:space="preserve">ť </w:t>
      </w:r>
      <w:r w:rsidRPr="0042758E">
        <w:rPr>
          <w:rFonts w:ascii="Times New Roman" w:eastAsia="Calibri" w:hAnsi="Times New Roman"/>
          <w:i/>
          <w:szCs w:val="24"/>
        </w:rPr>
        <w:t>z takového vý</w:t>
      </w:r>
      <w:r w:rsidRPr="0042758E">
        <w:rPr>
          <w:rFonts w:ascii="Times New Roman" w:eastAsia="Arial-OneByteIdentityH" w:hAnsi="Times New Roman"/>
          <w:i/>
          <w:szCs w:val="24"/>
        </w:rPr>
        <w:t>č</w:t>
      </w:r>
      <w:r w:rsidRPr="0042758E">
        <w:rPr>
          <w:rFonts w:ascii="Times New Roman" w:eastAsia="Calibri" w:hAnsi="Times New Roman"/>
          <w:i/>
          <w:szCs w:val="24"/>
        </w:rPr>
        <w:t>tu by nebylo možno ov</w:t>
      </w:r>
      <w:r w:rsidRPr="0042758E">
        <w:rPr>
          <w:rFonts w:ascii="Times New Roman" w:eastAsia="Arial-OneByteIdentityH" w:hAnsi="Times New Roman"/>
          <w:i/>
          <w:szCs w:val="24"/>
        </w:rPr>
        <w:t>ěř</w:t>
      </w:r>
      <w:r w:rsidRPr="0042758E">
        <w:rPr>
          <w:rFonts w:ascii="Times New Roman" w:eastAsia="Calibri" w:hAnsi="Times New Roman"/>
          <w:i/>
          <w:szCs w:val="24"/>
        </w:rPr>
        <w:t>it, zda obec</w:t>
      </w:r>
      <w:r w:rsidRPr="0042758E">
        <w:rPr>
          <w:rFonts w:ascii="Times New Roman" w:eastAsia="Arial-OneByteIdentityH" w:hAnsi="Times New Roman"/>
          <w:i/>
          <w:szCs w:val="24"/>
        </w:rPr>
        <w:t xml:space="preserve"> </w:t>
      </w:r>
      <w:r w:rsidRPr="0042758E">
        <w:rPr>
          <w:rFonts w:ascii="Times New Roman" w:eastAsia="Calibri" w:hAnsi="Times New Roman"/>
          <w:i/>
          <w:szCs w:val="24"/>
        </w:rPr>
        <w:t>p</w:t>
      </w:r>
      <w:r w:rsidRPr="0042758E">
        <w:rPr>
          <w:rFonts w:ascii="Times New Roman" w:eastAsia="Arial-OneByteIdentityH" w:hAnsi="Times New Roman"/>
          <w:i/>
          <w:szCs w:val="24"/>
        </w:rPr>
        <w:t>ř</w:t>
      </w:r>
      <w:r w:rsidRPr="0042758E">
        <w:rPr>
          <w:rFonts w:ascii="Times New Roman" w:eastAsia="Calibri" w:hAnsi="Times New Roman"/>
          <w:i/>
          <w:szCs w:val="24"/>
        </w:rPr>
        <w:t>i ur</w:t>
      </w:r>
      <w:r w:rsidRPr="0042758E">
        <w:rPr>
          <w:rFonts w:ascii="Times New Roman" w:eastAsia="Arial-OneByteIdentityH" w:hAnsi="Times New Roman"/>
          <w:i/>
          <w:szCs w:val="24"/>
        </w:rPr>
        <w:t>č</w:t>
      </w:r>
      <w:r w:rsidRPr="0042758E">
        <w:rPr>
          <w:rFonts w:ascii="Times New Roman" w:eastAsia="Calibri" w:hAnsi="Times New Roman"/>
          <w:i/>
          <w:szCs w:val="24"/>
        </w:rPr>
        <w:t>ení t</w:t>
      </w:r>
      <w:r w:rsidRPr="0042758E">
        <w:rPr>
          <w:rFonts w:ascii="Times New Roman" w:eastAsia="Arial-OneByteIdentityH" w:hAnsi="Times New Roman"/>
          <w:i/>
          <w:szCs w:val="24"/>
        </w:rPr>
        <w:t>ě</w:t>
      </w:r>
      <w:r w:rsidRPr="0042758E">
        <w:rPr>
          <w:rFonts w:ascii="Times New Roman" w:eastAsia="Calibri" w:hAnsi="Times New Roman"/>
          <w:i/>
          <w:szCs w:val="24"/>
        </w:rPr>
        <w:t>chto míst nepostupovala v rozporu se zásadou nediskriminace</w:t>
      </w:r>
      <w:r w:rsidRPr="0042758E">
        <w:rPr>
          <w:rFonts w:ascii="Times New Roman" w:eastAsia="Arial-OneByteIdentityH" w:hAnsi="Times New Roman"/>
          <w:i/>
          <w:szCs w:val="24"/>
        </w:rPr>
        <w:t xml:space="preserve"> </w:t>
      </w:r>
      <w:r w:rsidRPr="0042758E">
        <w:rPr>
          <w:rFonts w:ascii="Times New Roman" w:eastAsia="Calibri" w:hAnsi="Times New Roman"/>
          <w:i/>
          <w:szCs w:val="24"/>
        </w:rPr>
        <w:t>a zákonem o ochran</w:t>
      </w:r>
      <w:r w:rsidRPr="0042758E">
        <w:rPr>
          <w:rFonts w:ascii="Times New Roman" w:eastAsia="Arial-OneByteIdentityH" w:hAnsi="Times New Roman"/>
          <w:i/>
          <w:szCs w:val="24"/>
        </w:rPr>
        <w:t xml:space="preserve">ě </w:t>
      </w:r>
      <w:r w:rsidRPr="0042758E">
        <w:rPr>
          <w:rFonts w:ascii="Times New Roman" w:eastAsia="Calibri" w:hAnsi="Times New Roman"/>
          <w:i/>
          <w:szCs w:val="24"/>
        </w:rPr>
        <w:t>hospodá</w:t>
      </w:r>
      <w:r w:rsidRPr="0042758E">
        <w:rPr>
          <w:rFonts w:ascii="Times New Roman" w:eastAsia="Arial-OneByteIdentityH" w:hAnsi="Times New Roman"/>
          <w:i/>
          <w:szCs w:val="24"/>
        </w:rPr>
        <w:t>ř</w:t>
      </w:r>
      <w:r w:rsidRPr="0042758E">
        <w:rPr>
          <w:rFonts w:ascii="Times New Roman" w:eastAsia="Calibri" w:hAnsi="Times New Roman"/>
          <w:i/>
          <w:szCs w:val="24"/>
        </w:rPr>
        <w:t>ské sout</w:t>
      </w:r>
      <w:r w:rsidRPr="0042758E">
        <w:rPr>
          <w:rFonts w:ascii="Times New Roman" w:eastAsia="Arial-OneByteIdentityH" w:hAnsi="Times New Roman"/>
          <w:i/>
          <w:szCs w:val="24"/>
        </w:rPr>
        <w:t>ě</w:t>
      </w:r>
      <w:r w:rsidRPr="0042758E">
        <w:rPr>
          <w:rFonts w:ascii="Times New Roman" w:eastAsia="Calibri" w:hAnsi="Times New Roman"/>
          <w:i/>
          <w:szCs w:val="24"/>
        </w:rPr>
        <w:t>že. Pokud i p</w:t>
      </w:r>
      <w:r w:rsidRPr="0042758E">
        <w:rPr>
          <w:rFonts w:ascii="Times New Roman" w:eastAsia="Arial-OneByteIdentityH" w:hAnsi="Times New Roman"/>
          <w:i/>
          <w:szCs w:val="24"/>
        </w:rPr>
        <w:t>ř</w:t>
      </w:r>
      <w:r w:rsidRPr="0042758E">
        <w:rPr>
          <w:rFonts w:ascii="Times New Roman" w:eastAsia="Calibri" w:hAnsi="Times New Roman"/>
          <w:i/>
          <w:szCs w:val="24"/>
        </w:rPr>
        <w:t>esto obec zvolí tuto variantu</w:t>
      </w:r>
      <w:r w:rsidRPr="0042758E">
        <w:rPr>
          <w:rFonts w:ascii="Times New Roman" w:eastAsia="Arial-OneByteIdentityH" w:hAnsi="Times New Roman"/>
          <w:i/>
          <w:szCs w:val="24"/>
        </w:rPr>
        <w:t xml:space="preserve"> </w:t>
      </w:r>
      <w:r w:rsidRPr="0042758E">
        <w:rPr>
          <w:rFonts w:ascii="Times New Roman" w:eastAsia="Calibri" w:hAnsi="Times New Roman"/>
          <w:i/>
          <w:szCs w:val="24"/>
        </w:rPr>
        <w:t>regulace, je nutno upozornit, že by obec m</w:t>
      </w:r>
      <w:r w:rsidRPr="0042758E">
        <w:rPr>
          <w:rFonts w:ascii="Times New Roman" w:eastAsia="Arial-OneByteIdentityH" w:hAnsi="Times New Roman"/>
          <w:i/>
          <w:szCs w:val="24"/>
        </w:rPr>
        <w:t>ě</w:t>
      </w:r>
      <w:r w:rsidRPr="0042758E">
        <w:rPr>
          <w:rFonts w:ascii="Times New Roman" w:eastAsia="Calibri" w:hAnsi="Times New Roman"/>
          <w:i/>
          <w:szCs w:val="24"/>
        </w:rPr>
        <w:t>la p</w:t>
      </w:r>
      <w:r w:rsidRPr="0042758E">
        <w:rPr>
          <w:rFonts w:ascii="Times New Roman" w:eastAsia="Arial-OneByteIdentityH" w:hAnsi="Times New Roman"/>
          <w:i/>
          <w:szCs w:val="24"/>
        </w:rPr>
        <w:t>ř</w:t>
      </w:r>
      <w:r w:rsidRPr="0042758E">
        <w:rPr>
          <w:rFonts w:ascii="Times New Roman" w:eastAsia="Calibri" w:hAnsi="Times New Roman"/>
          <w:i/>
          <w:szCs w:val="24"/>
        </w:rPr>
        <w:t>ed vydáním obecn</w:t>
      </w:r>
      <w:r w:rsidRPr="0042758E">
        <w:rPr>
          <w:rFonts w:ascii="Times New Roman" w:eastAsia="Arial-OneByteIdentityH" w:hAnsi="Times New Roman"/>
          <w:i/>
          <w:szCs w:val="24"/>
        </w:rPr>
        <w:t xml:space="preserve">ě </w:t>
      </w:r>
      <w:r w:rsidRPr="0042758E">
        <w:rPr>
          <w:rFonts w:ascii="Times New Roman" w:eastAsia="Calibri" w:hAnsi="Times New Roman"/>
          <w:i/>
          <w:szCs w:val="24"/>
        </w:rPr>
        <w:t>závazné</w:t>
      </w:r>
      <w:r w:rsidRPr="0042758E">
        <w:rPr>
          <w:rFonts w:ascii="Times New Roman" w:eastAsia="Arial-OneByteIdentityH" w:hAnsi="Times New Roman"/>
          <w:i/>
          <w:szCs w:val="24"/>
        </w:rPr>
        <w:t xml:space="preserve"> </w:t>
      </w:r>
      <w:r w:rsidRPr="0042758E">
        <w:rPr>
          <w:rFonts w:ascii="Times New Roman" w:eastAsia="Calibri" w:hAnsi="Times New Roman"/>
          <w:i/>
          <w:szCs w:val="24"/>
        </w:rPr>
        <w:t>vyhlášky prov</w:t>
      </w:r>
      <w:r w:rsidRPr="0042758E">
        <w:rPr>
          <w:rFonts w:ascii="Times New Roman" w:eastAsia="Arial-OneByteIdentityH" w:hAnsi="Times New Roman"/>
          <w:i/>
          <w:szCs w:val="24"/>
        </w:rPr>
        <w:t>ěř</w:t>
      </w:r>
      <w:r w:rsidRPr="0042758E">
        <w:rPr>
          <w:rFonts w:ascii="Times New Roman" w:eastAsia="Calibri" w:hAnsi="Times New Roman"/>
          <w:i/>
          <w:szCs w:val="24"/>
        </w:rPr>
        <w:t>it, zda daná provozovna (budova) není chrán</w:t>
      </w:r>
      <w:r w:rsidRPr="0042758E">
        <w:rPr>
          <w:rFonts w:ascii="Times New Roman" w:eastAsia="Arial-OneByteIdentityH" w:hAnsi="Times New Roman"/>
          <w:i/>
          <w:szCs w:val="24"/>
        </w:rPr>
        <w:t>ě</w:t>
      </w:r>
      <w:r w:rsidRPr="0042758E">
        <w:rPr>
          <w:rFonts w:ascii="Times New Roman" w:eastAsia="Calibri" w:hAnsi="Times New Roman"/>
          <w:i/>
          <w:szCs w:val="24"/>
        </w:rPr>
        <w:t>nou budovou, v níž je</w:t>
      </w:r>
      <w:r w:rsidRPr="0042758E">
        <w:rPr>
          <w:rFonts w:ascii="Times New Roman" w:eastAsia="Arial-OneByteIdentityH" w:hAnsi="Times New Roman"/>
          <w:i/>
          <w:szCs w:val="24"/>
        </w:rPr>
        <w:t xml:space="preserve"> </w:t>
      </w:r>
      <w:r w:rsidRPr="0042758E">
        <w:rPr>
          <w:rFonts w:ascii="Times New Roman" w:eastAsia="Calibri" w:hAnsi="Times New Roman"/>
          <w:i/>
          <w:szCs w:val="24"/>
        </w:rPr>
        <w:t>provoz hazardních her zakázán, a to s ohledem na ustanovení § 13 zákona</w:t>
      </w:r>
      <w:r w:rsidRPr="0042758E">
        <w:rPr>
          <w:rFonts w:ascii="Times New Roman" w:eastAsia="Arial-OneByteIdentityH" w:hAnsi="Times New Roman"/>
          <w:i/>
          <w:szCs w:val="24"/>
        </w:rPr>
        <w:t xml:space="preserve"> </w:t>
      </w:r>
      <w:r w:rsidRPr="0042758E">
        <w:rPr>
          <w:rFonts w:ascii="Times New Roman" w:eastAsia="Calibri" w:hAnsi="Times New Roman"/>
          <w:i/>
          <w:szCs w:val="24"/>
        </w:rPr>
        <w:t>o hazardních hrách</w:t>
      </w:r>
      <w:r w:rsidRPr="0042758E">
        <w:rPr>
          <w:rFonts w:ascii="Times New Roman" w:eastAsia="Calibri" w:hAnsi="Times New Roman"/>
          <w:szCs w:val="24"/>
        </w:rPr>
        <w:t>.“</w:t>
      </w:r>
    </w:p>
    <w:p w:rsidR="00A92C85" w:rsidRDefault="00A92C85" w:rsidP="00A92C85">
      <w:pPr>
        <w:autoSpaceDE w:val="0"/>
        <w:autoSpaceDN w:val="0"/>
        <w:adjustRightInd w:val="0"/>
        <w:jc w:val="both"/>
        <w:rPr>
          <w:rFonts w:ascii="Times New Roman" w:eastAsia="Calibri" w:hAnsi="Times New Roman"/>
          <w:szCs w:val="24"/>
        </w:rPr>
      </w:pPr>
    </w:p>
    <w:p w:rsidR="00A92C85" w:rsidRDefault="00A92C85" w:rsidP="00A92C85">
      <w:pPr>
        <w:autoSpaceDE w:val="0"/>
        <w:autoSpaceDN w:val="0"/>
        <w:adjustRightInd w:val="0"/>
        <w:jc w:val="both"/>
        <w:rPr>
          <w:rFonts w:ascii="Times New Roman" w:eastAsia="Calibri" w:hAnsi="Times New Roman"/>
          <w:szCs w:val="24"/>
        </w:rPr>
      </w:pPr>
      <w:r>
        <w:rPr>
          <w:rFonts w:ascii="Times New Roman" w:eastAsia="Calibri" w:hAnsi="Times New Roman"/>
          <w:szCs w:val="24"/>
        </w:rPr>
        <w:t xml:space="preserve">V souladu s usnesením Rady města Prostějova č. 61136, které bylo přijato dne 6. 12. 2016, připravil Finanční odbor </w:t>
      </w:r>
      <w:proofErr w:type="spellStart"/>
      <w:r>
        <w:rPr>
          <w:rFonts w:ascii="Times New Roman" w:eastAsia="Calibri" w:hAnsi="Times New Roman"/>
          <w:szCs w:val="24"/>
        </w:rPr>
        <w:t>MMPv</w:t>
      </w:r>
      <w:proofErr w:type="spellEnd"/>
      <w:r>
        <w:rPr>
          <w:rFonts w:ascii="Times New Roman" w:eastAsia="Calibri" w:hAnsi="Times New Roman"/>
          <w:szCs w:val="24"/>
        </w:rPr>
        <w:t xml:space="preserve"> návrh obecně závazné vyhlášky o regulaci provozování hazardních her. Oproti platnému znění OZV č. 2/2012 došlo v návrhu k úpravám jak samotného znění vyhlášky, kdy byl zejména podrobněji definován cíl, jehož chce statutární město Prostějov regulací hazardních her dosáhnout, tak došlo ke snížení počtu adresních míst, na nichž je možné provozovat hazardní hry, a to ze 76 na 50 míst. Nově je provozování hazardních her povoleno na 44 adresních místech, na nichž je v současnosti povolen provoz výherního hracího přístroje (dále jen „VHP“) či jiné technické výherní zařízení (dále jen „JTVZ“) a dále na 6 adresních místech, kde byly dříve VHP či JTVZ povoleny, ale v současnosti se na těchto místech nenachází žádná funkční provozovna hazardních her, ani jiná živnostenská provozovna, či jiná podnikatelská činnost. Více viz důvodová zpráva k návrhu obecně závazné vyhlášky v příloze č. 2. </w:t>
      </w:r>
    </w:p>
    <w:p w:rsidR="00A92C85" w:rsidRDefault="00A92C85" w:rsidP="00A92C85">
      <w:pPr>
        <w:autoSpaceDE w:val="0"/>
        <w:autoSpaceDN w:val="0"/>
        <w:adjustRightInd w:val="0"/>
        <w:jc w:val="both"/>
        <w:rPr>
          <w:rFonts w:ascii="Times New Roman" w:eastAsia="Calibri" w:hAnsi="Times New Roman"/>
          <w:szCs w:val="24"/>
        </w:rPr>
      </w:pPr>
    </w:p>
    <w:p w:rsidR="00A92C85" w:rsidRDefault="00A92C85" w:rsidP="00A92C85">
      <w:pPr>
        <w:autoSpaceDE w:val="0"/>
        <w:autoSpaceDN w:val="0"/>
        <w:adjustRightInd w:val="0"/>
        <w:jc w:val="both"/>
        <w:rPr>
          <w:rFonts w:ascii="Times New Roman" w:eastAsia="Calibri" w:hAnsi="Times New Roman"/>
          <w:szCs w:val="24"/>
        </w:rPr>
      </w:pPr>
      <w:r>
        <w:rPr>
          <w:rFonts w:ascii="Times New Roman" w:eastAsia="Calibri" w:hAnsi="Times New Roman"/>
          <w:szCs w:val="24"/>
        </w:rPr>
        <w:t>Tento návrh vyhlášky byl po projednání Radou dne 24.1.2017 v souladu s usnesením Rady č. 7056 zaslán, spolu s důvodovou zprávou, Odboru veřejné správy, dozoru a kontroly MV k posouzení zákonnosti. Dle vyjádření výše uvedeného odboru ze dne 22.2.2017 návrh obecně závazné vyhlášky „</w:t>
      </w:r>
      <w:r w:rsidRPr="00C85EAA">
        <w:rPr>
          <w:rFonts w:ascii="Times New Roman" w:eastAsia="Calibri" w:hAnsi="Times New Roman"/>
          <w:i/>
          <w:szCs w:val="24"/>
        </w:rPr>
        <w:t>nebyl shledán v rozporu se zákonem</w:t>
      </w:r>
      <w:r>
        <w:rPr>
          <w:rFonts w:ascii="Times New Roman" w:eastAsia="Calibri" w:hAnsi="Times New Roman"/>
          <w:szCs w:val="24"/>
        </w:rPr>
        <w:t xml:space="preserve">“. Právní rozbor MV je uveden v příloze č. 5. </w:t>
      </w:r>
    </w:p>
    <w:p w:rsidR="00A92C85" w:rsidRDefault="00A92C85" w:rsidP="00A92C85">
      <w:pPr>
        <w:autoSpaceDE w:val="0"/>
        <w:autoSpaceDN w:val="0"/>
        <w:adjustRightInd w:val="0"/>
        <w:jc w:val="both"/>
        <w:rPr>
          <w:rFonts w:ascii="Times New Roman" w:eastAsia="Calibri" w:hAnsi="Times New Roman"/>
          <w:szCs w:val="24"/>
        </w:rPr>
      </w:pPr>
    </w:p>
    <w:p w:rsidR="00A92C85" w:rsidRPr="00E02C75" w:rsidRDefault="00A92C85" w:rsidP="00A92C85">
      <w:pPr>
        <w:pStyle w:val="Odstavecseseznamem"/>
        <w:ind w:left="0"/>
        <w:jc w:val="both"/>
      </w:pPr>
      <w:r w:rsidRPr="002F4D1B">
        <w:t>Rada na své schůzi konané dne 7.</w:t>
      </w:r>
      <w:r>
        <w:t xml:space="preserve"> </w:t>
      </w:r>
      <w:r w:rsidRPr="002F4D1B">
        <w:t>3.</w:t>
      </w:r>
      <w:r>
        <w:t xml:space="preserve"> </w:t>
      </w:r>
      <w:r w:rsidRPr="002F4D1B">
        <w:t>2017 rozhodla vyčkat s přijetím navržené vyhlášky na výstup pracovní odborné skupiny pro vyt</w:t>
      </w:r>
      <w:r>
        <w:t xml:space="preserve">voření obecně závazné vyhlášky. Pracovní skupina na svém jednání konaném dne 25. 5. 2017 doporučila obecně závaznou vyhlášku připravenou Finančním odborem přijmout s tím, že zároveň bude připravována vyhláška nová, v níž budou nově definována kritéria regulace hazardu na území města Prostějova. </w:t>
      </w:r>
      <w:r w:rsidRPr="00E02C75">
        <w:t xml:space="preserve">Po opětovném projednání návrhu obecně závazné vyhlášky dne 6. 6. 2017 </w:t>
      </w:r>
      <w:r w:rsidR="00E02C75">
        <w:t xml:space="preserve">Rada </w:t>
      </w:r>
      <w:r w:rsidRPr="00E02C75">
        <w:t xml:space="preserve">usnesením č. </w:t>
      </w:r>
      <w:r w:rsidR="00E02C75" w:rsidRPr="00E02C75">
        <w:t>7553</w:t>
      </w:r>
      <w:r w:rsidRPr="00E02C75">
        <w:t xml:space="preserve"> </w:t>
      </w:r>
      <w:r w:rsidR="00E02C75">
        <w:t>doporučila Z</w:t>
      </w:r>
      <w:r w:rsidRPr="00E02C75">
        <w:t xml:space="preserve">astupitelstvu </w:t>
      </w:r>
      <w:r w:rsidRPr="00E02C75">
        <w:rPr>
          <w:bCs/>
        </w:rPr>
        <w:t xml:space="preserve">vydat obecně závaznou vyhlášku </w:t>
      </w:r>
      <w:r w:rsidRPr="00E02C75">
        <w:t xml:space="preserve">o regulaci provozování hazardních her </w:t>
      </w:r>
      <w:r w:rsidRPr="00E02C75">
        <w:rPr>
          <w:bCs/>
        </w:rPr>
        <w:t>na území statutárního města Prostějova ve znění dle přílohy č. 1.</w:t>
      </w:r>
      <w:r w:rsidRPr="00E02C75">
        <w:rPr>
          <w:b/>
          <w:bCs/>
        </w:rPr>
        <w:t xml:space="preserve"> </w:t>
      </w:r>
    </w:p>
    <w:p w:rsidR="00A92C85" w:rsidRPr="00E02C75" w:rsidRDefault="00A92C85" w:rsidP="00A92C85">
      <w:pPr>
        <w:pStyle w:val="Odstavecseseznamem"/>
        <w:ind w:left="0"/>
        <w:jc w:val="both"/>
      </w:pPr>
    </w:p>
    <w:p w:rsidR="00A92C85" w:rsidRDefault="00A92C85" w:rsidP="00A92C85">
      <w:pPr>
        <w:pStyle w:val="NormlnIMP"/>
        <w:spacing w:after="60" w:line="240" w:lineRule="auto"/>
        <w:rPr>
          <w:szCs w:val="24"/>
        </w:rPr>
      </w:pPr>
    </w:p>
    <w:p w:rsidR="00A92C85" w:rsidRPr="0042758E" w:rsidRDefault="00A92C85" w:rsidP="00A92C85">
      <w:pPr>
        <w:pStyle w:val="NormlnIMP"/>
        <w:spacing w:after="60" w:line="240" w:lineRule="auto"/>
        <w:rPr>
          <w:szCs w:val="24"/>
        </w:rPr>
      </w:pPr>
    </w:p>
    <w:p w:rsidR="00A92C85" w:rsidRPr="006B7947" w:rsidRDefault="00A92C85" w:rsidP="00A92C85">
      <w:pPr>
        <w:pStyle w:val="NormlnIMP"/>
        <w:spacing w:after="60" w:line="240" w:lineRule="auto"/>
        <w:rPr>
          <w:b/>
          <w:sz w:val="22"/>
          <w:szCs w:val="22"/>
          <w:u w:val="single"/>
        </w:rPr>
      </w:pPr>
    </w:p>
    <w:p w:rsidR="00A92C85" w:rsidRDefault="00A92C85" w:rsidP="00A92C85">
      <w:pPr>
        <w:pStyle w:val="NormlnIMP"/>
        <w:spacing w:after="60" w:line="240" w:lineRule="auto"/>
        <w:rPr>
          <w:sz w:val="22"/>
          <w:szCs w:val="22"/>
        </w:rPr>
      </w:pPr>
      <w:r>
        <w:rPr>
          <w:sz w:val="22"/>
          <w:szCs w:val="22"/>
        </w:rPr>
        <w:t>V Prostějově dne 6. června 2017</w:t>
      </w: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sz w:val="22"/>
          <w:szCs w:val="22"/>
        </w:rPr>
      </w:pPr>
      <w:r w:rsidRPr="002D38F2">
        <w:rPr>
          <w:sz w:val="22"/>
          <w:szCs w:val="22"/>
        </w:rPr>
        <w:t xml:space="preserve">Zpracoval: </w:t>
      </w:r>
      <w:r>
        <w:rPr>
          <w:sz w:val="22"/>
          <w:szCs w:val="22"/>
        </w:rPr>
        <w:t xml:space="preserve"> Pavel Vyškovský</w:t>
      </w:r>
      <w:r w:rsidRPr="002D38F2">
        <w:rPr>
          <w:sz w:val="22"/>
          <w:szCs w:val="22"/>
        </w:rPr>
        <w:t>, právník Finančního odboru</w:t>
      </w:r>
      <w:r w:rsidR="002C6E68">
        <w:rPr>
          <w:sz w:val="22"/>
          <w:szCs w:val="22"/>
        </w:rPr>
        <w:t>, v.r.</w:t>
      </w:r>
    </w:p>
    <w:p w:rsidR="00A92C85" w:rsidRDefault="00A92C85" w:rsidP="00A92C85">
      <w:pPr>
        <w:pStyle w:val="NormlnIMP"/>
        <w:spacing w:after="60" w:line="240" w:lineRule="auto"/>
        <w:rPr>
          <w:sz w:val="22"/>
          <w:szCs w:val="22"/>
        </w:rPr>
      </w:pPr>
    </w:p>
    <w:p w:rsidR="00A92C85" w:rsidRDefault="00A92C85" w:rsidP="00A92C85">
      <w:pPr>
        <w:pStyle w:val="NormlnIMP"/>
        <w:spacing w:after="60" w:line="240" w:lineRule="auto"/>
        <w:rPr>
          <w:b/>
          <w:sz w:val="22"/>
          <w:szCs w:val="22"/>
        </w:rPr>
      </w:pPr>
    </w:p>
    <w:p w:rsidR="00A92C85" w:rsidRDefault="00A92C85" w:rsidP="00A92C85">
      <w:pPr>
        <w:pStyle w:val="NormlnIMP"/>
        <w:spacing w:after="60" w:line="240" w:lineRule="auto"/>
        <w:rPr>
          <w:b/>
          <w:sz w:val="22"/>
          <w:szCs w:val="22"/>
        </w:rPr>
      </w:pPr>
      <w:r w:rsidRPr="00C674A8">
        <w:rPr>
          <w:b/>
          <w:sz w:val="22"/>
          <w:szCs w:val="22"/>
        </w:rPr>
        <w:t>Přílohy:</w:t>
      </w:r>
    </w:p>
    <w:p w:rsidR="00A92C85" w:rsidRPr="00C674A8" w:rsidRDefault="00A92C85" w:rsidP="00A92C85">
      <w:pPr>
        <w:pStyle w:val="NormlnIMP"/>
        <w:spacing w:after="60" w:line="240" w:lineRule="auto"/>
        <w:rPr>
          <w:b/>
          <w:sz w:val="22"/>
          <w:szCs w:val="22"/>
        </w:rPr>
      </w:pPr>
    </w:p>
    <w:p w:rsidR="00A92C85" w:rsidRPr="00E02C75" w:rsidRDefault="00A92C85" w:rsidP="00A92C85">
      <w:pPr>
        <w:pStyle w:val="NormlnIMP"/>
        <w:spacing w:after="60" w:line="240" w:lineRule="auto"/>
        <w:ind w:left="1410" w:hanging="1410"/>
        <w:rPr>
          <w:sz w:val="22"/>
          <w:szCs w:val="22"/>
        </w:rPr>
      </w:pPr>
      <w:r>
        <w:rPr>
          <w:sz w:val="22"/>
          <w:szCs w:val="22"/>
        </w:rPr>
        <w:t xml:space="preserve">Příloha č. 1 </w:t>
      </w:r>
      <w:r>
        <w:rPr>
          <w:sz w:val="22"/>
          <w:szCs w:val="22"/>
        </w:rPr>
        <w:tab/>
      </w:r>
      <w:r w:rsidRPr="00E02C75">
        <w:rPr>
          <w:sz w:val="22"/>
          <w:szCs w:val="22"/>
        </w:rPr>
        <w:t>Návrh obecně závazné vyhlášky města Prostějova o regulaci provozování hazardních her s uvedeným seznamem bez míst, kde již nejsou povoleny výherní hrací přístroje Magistrátem města Prostějova, ani jiné technické herní zařízení povolené Ministerstvem financí ČR</w:t>
      </w:r>
    </w:p>
    <w:p w:rsidR="00A92C85" w:rsidRPr="00E02C75" w:rsidRDefault="00A92C85" w:rsidP="00A92C85">
      <w:pPr>
        <w:pStyle w:val="NormlnIMP"/>
        <w:spacing w:after="60" w:line="240" w:lineRule="auto"/>
        <w:rPr>
          <w:sz w:val="22"/>
          <w:szCs w:val="22"/>
        </w:rPr>
      </w:pPr>
    </w:p>
    <w:p w:rsidR="00A92C85" w:rsidRPr="00E02C75" w:rsidRDefault="00A92C85" w:rsidP="00A92C85">
      <w:pPr>
        <w:pStyle w:val="NormlnIMP"/>
        <w:spacing w:after="60" w:line="240" w:lineRule="auto"/>
        <w:rPr>
          <w:sz w:val="22"/>
          <w:szCs w:val="22"/>
        </w:rPr>
      </w:pPr>
      <w:r w:rsidRPr="00E02C75">
        <w:rPr>
          <w:sz w:val="22"/>
          <w:szCs w:val="22"/>
        </w:rPr>
        <w:t xml:space="preserve">Příloha č. 2: </w:t>
      </w:r>
      <w:r w:rsidRPr="00E02C75">
        <w:rPr>
          <w:sz w:val="22"/>
          <w:szCs w:val="22"/>
        </w:rPr>
        <w:tab/>
        <w:t>Důvodová zpráva k obecně závazné vyhlášce o regulaci provozování hazardních her</w:t>
      </w:r>
    </w:p>
    <w:p w:rsidR="00A92C85" w:rsidRPr="00E02C75" w:rsidRDefault="00A92C85" w:rsidP="00A92C85">
      <w:pPr>
        <w:pStyle w:val="NormlnIMP"/>
        <w:spacing w:after="60" w:line="240" w:lineRule="auto"/>
        <w:rPr>
          <w:sz w:val="22"/>
          <w:szCs w:val="22"/>
        </w:rPr>
      </w:pPr>
    </w:p>
    <w:p w:rsidR="00A92C85" w:rsidRPr="00E02C75" w:rsidRDefault="00A92C85" w:rsidP="00A92C85">
      <w:pPr>
        <w:pStyle w:val="NormlnIMP"/>
        <w:spacing w:after="60" w:line="240" w:lineRule="auto"/>
        <w:rPr>
          <w:sz w:val="22"/>
          <w:szCs w:val="22"/>
        </w:rPr>
      </w:pPr>
      <w:r w:rsidRPr="00E02C75">
        <w:rPr>
          <w:sz w:val="22"/>
          <w:szCs w:val="22"/>
        </w:rPr>
        <w:t xml:space="preserve">Příloha č. 3  </w:t>
      </w:r>
      <w:r w:rsidRPr="00E02C75">
        <w:rPr>
          <w:sz w:val="22"/>
          <w:szCs w:val="22"/>
        </w:rPr>
        <w:tab/>
        <w:t>Žádost ÚOHS o vyjádření statutárního města Prostějova k současné OZV č. 2/2012</w:t>
      </w:r>
    </w:p>
    <w:p w:rsidR="00A92C85" w:rsidRPr="00E02C75" w:rsidRDefault="00A92C85" w:rsidP="00A92C85">
      <w:pPr>
        <w:pStyle w:val="NormlnIMP"/>
        <w:spacing w:after="60" w:line="240" w:lineRule="auto"/>
        <w:rPr>
          <w:sz w:val="22"/>
          <w:szCs w:val="22"/>
        </w:rPr>
      </w:pPr>
    </w:p>
    <w:p w:rsidR="00A92C85" w:rsidRPr="00E02C75" w:rsidRDefault="00A92C85" w:rsidP="00A92C85">
      <w:pPr>
        <w:pStyle w:val="NormlnIMP"/>
        <w:spacing w:after="60" w:line="240" w:lineRule="auto"/>
        <w:rPr>
          <w:sz w:val="22"/>
          <w:szCs w:val="22"/>
        </w:rPr>
      </w:pPr>
      <w:r w:rsidRPr="00E02C75">
        <w:rPr>
          <w:sz w:val="22"/>
          <w:szCs w:val="22"/>
        </w:rPr>
        <w:t xml:space="preserve">Příloha č. 4  </w:t>
      </w:r>
      <w:r w:rsidRPr="00E02C75">
        <w:rPr>
          <w:sz w:val="22"/>
          <w:szCs w:val="22"/>
        </w:rPr>
        <w:tab/>
        <w:t>Odpověď statutárního města Prostějova na žádost ÚOHS</w:t>
      </w:r>
    </w:p>
    <w:p w:rsidR="00A92C85" w:rsidRPr="00E02C75" w:rsidRDefault="00A92C85" w:rsidP="00A92C85">
      <w:pPr>
        <w:pStyle w:val="NormlnIMP"/>
        <w:spacing w:after="60" w:line="240" w:lineRule="auto"/>
        <w:rPr>
          <w:sz w:val="22"/>
          <w:szCs w:val="22"/>
        </w:rPr>
      </w:pPr>
    </w:p>
    <w:p w:rsidR="00A92C85" w:rsidRPr="00AD4F17" w:rsidRDefault="00A92C85" w:rsidP="00976514">
      <w:pPr>
        <w:pStyle w:val="NormlnIMP"/>
        <w:spacing w:after="60" w:line="240" w:lineRule="auto"/>
        <w:ind w:left="1410" w:hanging="1410"/>
        <w:jc w:val="left"/>
        <w:rPr>
          <w:i/>
          <w:sz w:val="22"/>
          <w:szCs w:val="22"/>
        </w:rPr>
      </w:pPr>
      <w:r w:rsidRPr="00E02C75">
        <w:rPr>
          <w:sz w:val="22"/>
          <w:szCs w:val="22"/>
        </w:rPr>
        <w:t xml:space="preserve">Příloha č. 5 </w:t>
      </w:r>
      <w:r w:rsidRPr="00E02C75">
        <w:rPr>
          <w:sz w:val="22"/>
          <w:szCs w:val="22"/>
        </w:rPr>
        <w:tab/>
        <w:t xml:space="preserve">Vyjádření </w:t>
      </w:r>
      <w:r w:rsidRPr="00E02C75">
        <w:rPr>
          <w:rFonts w:eastAsia="Calibri"/>
          <w:sz w:val="22"/>
          <w:szCs w:val="22"/>
        </w:rPr>
        <w:t>Odboru veřejné správy, dozoru a kontroly Ministerstva vnitra spolu s právním rozborem obecně závazné vyhlášky</w:t>
      </w:r>
      <w:r>
        <w:rPr>
          <w:szCs w:val="24"/>
        </w:rPr>
        <w:t xml:space="preserve">         </w:t>
      </w:r>
      <w:r>
        <w:rPr>
          <w:szCs w:val="24"/>
        </w:rPr>
        <w:br w:type="page"/>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D4F17">
        <w:rPr>
          <w:i/>
          <w:sz w:val="22"/>
          <w:szCs w:val="22"/>
        </w:rPr>
        <w:t>Příloha č. 1</w:t>
      </w:r>
    </w:p>
    <w:p w:rsidR="00A92C85" w:rsidRDefault="00A92C85" w:rsidP="00A92C85">
      <w:pPr>
        <w:pStyle w:val="NormlnIMP"/>
        <w:spacing w:after="60" w:line="240" w:lineRule="auto"/>
        <w:jc w:val="center"/>
        <w:rPr>
          <w:b/>
          <w:color w:val="000000"/>
          <w:sz w:val="28"/>
          <w:szCs w:val="28"/>
        </w:rPr>
      </w:pPr>
    </w:p>
    <w:p w:rsidR="00A92C85" w:rsidRDefault="00A92C85" w:rsidP="00A92C85">
      <w:pPr>
        <w:pStyle w:val="NormlnIMP"/>
        <w:spacing w:after="60" w:line="240" w:lineRule="auto"/>
        <w:jc w:val="center"/>
        <w:rPr>
          <w:b/>
          <w:color w:val="000000"/>
          <w:sz w:val="28"/>
          <w:szCs w:val="28"/>
        </w:rPr>
      </w:pPr>
    </w:p>
    <w:p w:rsidR="00A92C85" w:rsidRPr="008F391B" w:rsidRDefault="00A92C85" w:rsidP="00A92C85">
      <w:pPr>
        <w:pStyle w:val="NormlnIMP"/>
        <w:spacing w:after="60" w:line="240" w:lineRule="auto"/>
        <w:jc w:val="center"/>
        <w:rPr>
          <w:b/>
          <w:color w:val="000000"/>
          <w:sz w:val="28"/>
          <w:szCs w:val="28"/>
        </w:rPr>
      </w:pPr>
      <w:r w:rsidRPr="008F391B">
        <w:rPr>
          <w:b/>
          <w:color w:val="000000"/>
          <w:sz w:val="28"/>
          <w:szCs w:val="28"/>
        </w:rPr>
        <w:t>Statutární město Prostějov</w:t>
      </w:r>
    </w:p>
    <w:p w:rsidR="00A92C85" w:rsidRPr="008F391B" w:rsidRDefault="00A92C85" w:rsidP="00A92C85">
      <w:pPr>
        <w:pStyle w:val="NormlnIMP"/>
        <w:spacing w:after="60" w:line="240" w:lineRule="auto"/>
        <w:jc w:val="center"/>
        <w:rPr>
          <w:b/>
          <w:color w:val="000000"/>
          <w:szCs w:val="24"/>
        </w:rPr>
      </w:pPr>
      <w:r w:rsidRPr="008F391B">
        <w:rPr>
          <w:b/>
          <w:color w:val="000000"/>
          <w:szCs w:val="24"/>
        </w:rPr>
        <w:t>Zastupitelstvo města Prostějova</w:t>
      </w:r>
    </w:p>
    <w:p w:rsidR="00A92C85" w:rsidRPr="008F391B" w:rsidRDefault="00A92C85" w:rsidP="00A92C85">
      <w:pPr>
        <w:pStyle w:val="NormlnIMP"/>
        <w:spacing w:after="120" w:line="240" w:lineRule="auto"/>
        <w:jc w:val="center"/>
        <w:rPr>
          <w:b/>
          <w:color w:val="000000"/>
          <w:szCs w:val="24"/>
        </w:rPr>
      </w:pPr>
      <w:r w:rsidRPr="008F391B">
        <w:rPr>
          <w:b/>
          <w:szCs w:val="24"/>
        </w:rPr>
        <w:t>Obecně závazná vyhláška statutárního města Prostějova č. …/20..,</w:t>
      </w:r>
    </w:p>
    <w:p w:rsidR="00A92C85" w:rsidRPr="008F391B" w:rsidRDefault="00A92C85" w:rsidP="00A92C85">
      <w:pPr>
        <w:pStyle w:val="NormlnIMP"/>
        <w:spacing w:line="240" w:lineRule="auto"/>
        <w:jc w:val="center"/>
        <w:rPr>
          <w:b/>
          <w:color w:val="000000"/>
          <w:szCs w:val="24"/>
        </w:rPr>
      </w:pPr>
    </w:p>
    <w:p w:rsidR="00A92C85" w:rsidRPr="008F391B" w:rsidRDefault="00A92C85" w:rsidP="00A92C85">
      <w:pPr>
        <w:pStyle w:val="NormlnIMP"/>
        <w:spacing w:line="240" w:lineRule="auto"/>
        <w:jc w:val="center"/>
        <w:rPr>
          <w:b/>
          <w:color w:val="000000"/>
          <w:szCs w:val="24"/>
        </w:rPr>
      </w:pPr>
    </w:p>
    <w:p w:rsidR="00A92C85" w:rsidRPr="008F391B" w:rsidRDefault="00A92C85" w:rsidP="00A92C85">
      <w:pPr>
        <w:spacing w:after="120"/>
        <w:jc w:val="center"/>
        <w:rPr>
          <w:rFonts w:ascii="Times New Roman" w:hAnsi="Times New Roman"/>
          <w:b/>
          <w:szCs w:val="24"/>
        </w:rPr>
      </w:pPr>
      <w:r w:rsidRPr="008F391B">
        <w:rPr>
          <w:rFonts w:ascii="Times New Roman" w:hAnsi="Times New Roman"/>
          <w:b/>
          <w:szCs w:val="24"/>
        </w:rPr>
        <w:t>o regulaci provozování hazardních her</w:t>
      </w:r>
    </w:p>
    <w:p w:rsidR="00A92C85" w:rsidRPr="008F391B" w:rsidRDefault="00A92C85" w:rsidP="00A92C85">
      <w:pPr>
        <w:jc w:val="both"/>
        <w:rPr>
          <w:rFonts w:ascii="Times New Roman" w:hAnsi="Times New Roman"/>
          <w:b/>
          <w:bCs/>
          <w:i/>
          <w:iCs/>
          <w:szCs w:val="24"/>
        </w:rPr>
      </w:pPr>
    </w:p>
    <w:p w:rsidR="00A92C85" w:rsidRPr="008F391B" w:rsidRDefault="00A92C85" w:rsidP="00A92C85">
      <w:pPr>
        <w:jc w:val="both"/>
        <w:rPr>
          <w:rFonts w:ascii="Times New Roman" w:hAnsi="Times New Roman"/>
          <w:b/>
          <w:bCs/>
          <w:i/>
          <w:iCs/>
          <w:szCs w:val="24"/>
        </w:rPr>
      </w:pPr>
    </w:p>
    <w:p w:rsidR="00A92C85" w:rsidRPr="008F391B" w:rsidRDefault="00A92C85" w:rsidP="00A92C85">
      <w:pPr>
        <w:pStyle w:val="Zkladntext"/>
        <w:spacing w:after="0"/>
        <w:jc w:val="both"/>
        <w:rPr>
          <w:rFonts w:ascii="Times New Roman" w:hAnsi="Times New Roman"/>
          <w:szCs w:val="24"/>
        </w:rPr>
      </w:pPr>
      <w:r w:rsidRPr="008F391B">
        <w:rPr>
          <w:rFonts w:ascii="Times New Roman" w:hAnsi="Times New Roman"/>
          <w:szCs w:val="24"/>
        </w:rPr>
        <w:t>Zastupitelstvo statutárního města Prostějova v souladu s ustanovením § 10 písm. a)</w:t>
      </w:r>
      <w:r>
        <w:rPr>
          <w:rFonts w:ascii="Times New Roman" w:hAnsi="Times New Roman"/>
          <w:szCs w:val="24"/>
        </w:rPr>
        <w:t>, d)</w:t>
      </w:r>
      <w:r w:rsidRPr="008F391B">
        <w:rPr>
          <w:rFonts w:ascii="Times New Roman" w:hAnsi="Times New Roman"/>
          <w:szCs w:val="24"/>
        </w:rPr>
        <w:t xml:space="preserve"> a ustanovením § 84 odst. 2 písm. h) zákona č. 128/2000 Sb., o obcích (obecní zřízení), ve znění pozdějších předpisů, a v souladu s ustanovením § 12 odst. 1 zákona č. 186/2016 Sb., o hazardních hrách, vydalo na svém zasedání dne … 201</w:t>
      </w:r>
      <w:r>
        <w:rPr>
          <w:rFonts w:ascii="Times New Roman" w:hAnsi="Times New Roman"/>
          <w:szCs w:val="24"/>
        </w:rPr>
        <w:t>7</w:t>
      </w:r>
      <w:r w:rsidRPr="008F391B">
        <w:rPr>
          <w:rFonts w:ascii="Times New Roman" w:hAnsi="Times New Roman"/>
          <w:szCs w:val="24"/>
        </w:rPr>
        <w:t>, usnesením č. …… tuto obecně závaznou vyhlášku (dále jen „vyhláška“):</w:t>
      </w:r>
    </w:p>
    <w:p w:rsidR="00A92C85" w:rsidRPr="008F391B" w:rsidRDefault="00A92C85" w:rsidP="00A92C85">
      <w:pPr>
        <w:jc w:val="both"/>
        <w:rPr>
          <w:rFonts w:ascii="Times New Roman" w:hAnsi="Times New Roman"/>
          <w:b/>
          <w:bCs/>
          <w:i/>
          <w:iCs/>
          <w:szCs w:val="24"/>
        </w:rPr>
      </w:pPr>
    </w:p>
    <w:p w:rsidR="00A92C85" w:rsidRPr="008F391B" w:rsidRDefault="00A92C85" w:rsidP="00A92C85">
      <w:pPr>
        <w:jc w:val="both"/>
        <w:rPr>
          <w:rFonts w:ascii="Times New Roman" w:hAnsi="Times New Roman"/>
          <w:b/>
          <w:bCs/>
          <w:i/>
          <w:iCs/>
          <w:szCs w:val="24"/>
        </w:rPr>
      </w:pPr>
    </w:p>
    <w:p w:rsidR="00A92C85" w:rsidRPr="008F391B" w:rsidRDefault="00A92C85" w:rsidP="00A92C85">
      <w:pPr>
        <w:jc w:val="center"/>
        <w:rPr>
          <w:rFonts w:ascii="Times New Roman" w:hAnsi="Times New Roman"/>
          <w:b/>
          <w:bCs/>
          <w:szCs w:val="24"/>
        </w:rPr>
      </w:pPr>
      <w:r w:rsidRPr="008F391B">
        <w:rPr>
          <w:rFonts w:ascii="Times New Roman" w:hAnsi="Times New Roman"/>
          <w:b/>
          <w:bCs/>
          <w:szCs w:val="24"/>
        </w:rPr>
        <w:t>Článek 1</w:t>
      </w:r>
    </w:p>
    <w:p w:rsidR="00A92C85" w:rsidRPr="008F391B" w:rsidRDefault="00A92C85" w:rsidP="00A92C85">
      <w:pPr>
        <w:jc w:val="center"/>
        <w:rPr>
          <w:rFonts w:ascii="Times New Roman" w:hAnsi="Times New Roman"/>
          <w:bCs/>
          <w:iCs/>
          <w:szCs w:val="24"/>
        </w:rPr>
      </w:pPr>
      <w:r w:rsidRPr="008F391B">
        <w:rPr>
          <w:rFonts w:ascii="Times New Roman" w:hAnsi="Times New Roman"/>
          <w:b/>
          <w:bCs/>
          <w:szCs w:val="24"/>
        </w:rPr>
        <w:t>Cíl vyhlášky</w:t>
      </w:r>
    </w:p>
    <w:p w:rsidR="00A92C85" w:rsidRPr="008F391B" w:rsidRDefault="00A92C85" w:rsidP="00A92C85">
      <w:pPr>
        <w:jc w:val="both"/>
        <w:rPr>
          <w:rFonts w:ascii="Times New Roman" w:hAnsi="Times New Roman"/>
          <w:bCs/>
          <w:iCs/>
          <w:szCs w:val="24"/>
        </w:rPr>
      </w:pPr>
    </w:p>
    <w:p w:rsidR="00A92C85" w:rsidRPr="009874B3" w:rsidRDefault="00A92C85" w:rsidP="00A92C85">
      <w:pPr>
        <w:autoSpaceDE w:val="0"/>
        <w:autoSpaceDN w:val="0"/>
        <w:adjustRightInd w:val="0"/>
        <w:jc w:val="both"/>
        <w:rPr>
          <w:rFonts w:ascii="Times New Roman" w:eastAsia="Calibri" w:hAnsi="Times New Roman"/>
          <w:szCs w:val="24"/>
        </w:rPr>
      </w:pPr>
      <w:r w:rsidRPr="008F391B">
        <w:rPr>
          <w:rFonts w:ascii="Times New Roman" w:hAnsi="Times New Roman"/>
          <w:szCs w:val="24"/>
        </w:rPr>
        <w:t>Cílem této vyhlášky je</w:t>
      </w:r>
      <w:r>
        <w:rPr>
          <w:rFonts w:ascii="Times New Roman" w:hAnsi="Times New Roman"/>
          <w:szCs w:val="24"/>
        </w:rPr>
        <w:t xml:space="preserve"> zabezpečit místní záležitosti veřejného pořádku </w:t>
      </w:r>
      <w:r w:rsidRPr="009874B3">
        <w:rPr>
          <w:rFonts w:ascii="Times New Roman" w:eastAsia="Calibri" w:hAnsi="Times New Roman"/>
          <w:szCs w:val="24"/>
        </w:rPr>
        <w:t>omezení</w:t>
      </w:r>
      <w:r>
        <w:rPr>
          <w:rFonts w:ascii="Times New Roman" w:eastAsia="Calibri" w:hAnsi="Times New Roman"/>
          <w:szCs w:val="24"/>
        </w:rPr>
        <w:t>m</w:t>
      </w:r>
      <w:r w:rsidRPr="009874B3">
        <w:rPr>
          <w:rFonts w:ascii="Times New Roman" w:eastAsia="Calibri" w:hAnsi="Times New Roman"/>
          <w:szCs w:val="24"/>
        </w:rPr>
        <w:t xml:space="preserve"> negativního vlivu </w:t>
      </w:r>
      <w:r>
        <w:rPr>
          <w:rFonts w:ascii="Times New Roman" w:eastAsia="Calibri" w:hAnsi="Times New Roman"/>
          <w:szCs w:val="24"/>
        </w:rPr>
        <w:t>hazardních her</w:t>
      </w:r>
      <w:r w:rsidRPr="009874B3">
        <w:rPr>
          <w:rFonts w:ascii="Times New Roman" w:eastAsia="Calibri" w:hAnsi="Times New Roman"/>
          <w:szCs w:val="24"/>
        </w:rPr>
        <w:t xml:space="preserve"> </w:t>
      </w:r>
      <w:r>
        <w:rPr>
          <w:rFonts w:ascii="Times New Roman" w:eastAsia="Calibri" w:hAnsi="Times New Roman"/>
          <w:szCs w:val="24"/>
        </w:rPr>
        <w:t xml:space="preserve">a předcházení záporných jevů, které ve svých důsledcích mohou </w:t>
      </w:r>
      <w:r w:rsidRPr="009874B3">
        <w:rPr>
          <w:rFonts w:ascii="Times New Roman" w:eastAsia="Calibri" w:hAnsi="Times New Roman"/>
          <w:szCs w:val="24"/>
        </w:rPr>
        <w:t>vést k narušování veřejného pořádku a ke zvýšení kriminality a dalších patologických jevů.</w:t>
      </w:r>
    </w:p>
    <w:p w:rsidR="00A92C85" w:rsidRDefault="00A92C85" w:rsidP="00A92C85">
      <w:pPr>
        <w:jc w:val="both"/>
        <w:rPr>
          <w:rFonts w:ascii="Times New Roman" w:hAnsi="Times New Roman"/>
          <w:szCs w:val="24"/>
        </w:rPr>
      </w:pPr>
    </w:p>
    <w:p w:rsidR="00A92C85" w:rsidRPr="00293C8A" w:rsidRDefault="00A92C85" w:rsidP="00A92C85">
      <w:pPr>
        <w:autoSpaceDE w:val="0"/>
        <w:autoSpaceDN w:val="0"/>
        <w:adjustRightInd w:val="0"/>
        <w:jc w:val="both"/>
        <w:rPr>
          <w:rFonts w:ascii="Times New Roman" w:eastAsia="Calibri" w:hAnsi="Times New Roman"/>
          <w:szCs w:val="24"/>
        </w:rPr>
      </w:pPr>
      <w:r w:rsidRPr="00293C8A">
        <w:rPr>
          <w:rFonts w:ascii="Times New Roman" w:eastAsia="Calibri" w:hAnsi="Times New Roman"/>
          <w:szCs w:val="24"/>
        </w:rPr>
        <w:t>Tento cíl je realizován</w:t>
      </w:r>
      <w:r w:rsidRPr="00B024F6">
        <w:rPr>
          <w:rFonts w:ascii="Times New Roman" w:hAnsi="Times New Roman"/>
          <w:szCs w:val="24"/>
        </w:rPr>
        <w:t xml:space="preserve"> </w:t>
      </w:r>
      <w:r>
        <w:rPr>
          <w:rFonts w:ascii="Times New Roman" w:hAnsi="Times New Roman"/>
          <w:szCs w:val="24"/>
        </w:rPr>
        <w:t>prostřednictvím regulace míst</w:t>
      </w:r>
      <w:r w:rsidRPr="008F391B">
        <w:rPr>
          <w:rFonts w:ascii="Times New Roman" w:hAnsi="Times New Roman"/>
          <w:szCs w:val="24"/>
        </w:rPr>
        <w:t xml:space="preserve"> provozování hazardních her na území </w:t>
      </w:r>
      <w:r>
        <w:rPr>
          <w:rFonts w:ascii="Times New Roman" w:hAnsi="Times New Roman"/>
          <w:szCs w:val="24"/>
        </w:rPr>
        <w:t>statutárního města Prostějov, a to</w:t>
      </w:r>
      <w:r w:rsidRPr="00293C8A">
        <w:rPr>
          <w:rFonts w:ascii="Times New Roman" w:eastAsia="Calibri" w:hAnsi="Times New Roman"/>
          <w:szCs w:val="24"/>
        </w:rPr>
        <w:t xml:space="preserve"> stanovením takových míst, kde mohou být </w:t>
      </w:r>
      <w:r>
        <w:rPr>
          <w:rFonts w:ascii="Times New Roman" w:eastAsia="Calibri" w:hAnsi="Times New Roman"/>
          <w:szCs w:val="24"/>
        </w:rPr>
        <w:t>hazardní</w:t>
      </w:r>
      <w:r w:rsidRPr="00293C8A">
        <w:rPr>
          <w:rFonts w:ascii="Times New Roman" w:eastAsia="Calibri" w:hAnsi="Times New Roman"/>
          <w:szCs w:val="24"/>
        </w:rPr>
        <w:t xml:space="preserve"> hry provozovány, aby uvedené negativní důsledky byly v co největší míře omezeny</w:t>
      </w:r>
      <w:r>
        <w:rPr>
          <w:rFonts w:ascii="Times New Roman" w:eastAsia="Calibri" w:hAnsi="Times New Roman"/>
          <w:szCs w:val="24"/>
        </w:rPr>
        <w:t xml:space="preserve">. </w:t>
      </w:r>
    </w:p>
    <w:p w:rsidR="00A92C85" w:rsidRDefault="00A92C85" w:rsidP="00A92C85">
      <w:pPr>
        <w:jc w:val="both"/>
        <w:rPr>
          <w:rFonts w:ascii="Times New Roman" w:hAnsi="Times New Roman"/>
          <w:szCs w:val="24"/>
        </w:rPr>
      </w:pPr>
    </w:p>
    <w:p w:rsidR="00A92C85" w:rsidRPr="008F391B" w:rsidRDefault="00A92C85" w:rsidP="00A92C85">
      <w:pPr>
        <w:jc w:val="both"/>
        <w:rPr>
          <w:rFonts w:ascii="Times New Roman" w:hAnsi="Times New Roman"/>
          <w:b/>
          <w:bCs/>
          <w:i/>
          <w:iCs/>
          <w:szCs w:val="24"/>
        </w:rPr>
      </w:pPr>
    </w:p>
    <w:p w:rsidR="00A92C85" w:rsidRPr="008F391B" w:rsidRDefault="00A92C85" w:rsidP="00A92C85">
      <w:pPr>
        <w:jc w:val="center"/>
        <w:rPr>
          <w:rFonts w:ascii="Times New Roman" w:hAnsi="Times New Roman"/>
          <w:b/>
          <w:bCs/>
          <w:szCs w:val="24"/>
        </w:rPr>
      </w:pPr>
      <w:r w:rsidRPr="008F391B">
        <w:rPr>
          <w:rFonts w:ascii="Times New Roman" w:hAnsi="Times New Roman"/>
          <w:b/>
          <w:bCs/>
          <w:szCs w:val="24"/>
        </w:rPr>
        <w:t>Článek 2</w:t>
      </w:r>
    </w:p>
    <w:p w:rsidR="00A92C85" w:rsidRPr="008F391B" w:rsidRDefault="00A92C85" w:rsidP="00A92C85">
      <w:pPr>
        <w:jc w:val="center"/>
        <w:rPr>
          <w:rFonts w:ascii="Times New Roman" w:hAnsi="Times New Roman"/>
          <w:b/>
          <w:bCs/>
          <w:szCs w:val="24"/>
        </w:rPr>
      </w:pPr>
      <w:r>
        <w:rPr>
          <w:rFonts w:ascii="Times New Roman" w:hAnsi="Times New Roman"/>
          <w:b/>
          <w:bCs/>
          <w:szCs w:val="24"/>
        </w:rPr>
        <w:t>Určení míst, na nichž je povoleno provozovat hazardní hry</w:t>
      </w:r>
    </w:p>
    <w:p w:rsidR="00A92C85" w:rsidRPr="008F391B" w:rsidRDefault="00A92C85" w:rsidP="00A92C85">
      <w:pPr>
        <w:jc w:val="both"/>
        <w:rPr>
          <w:rFonts w:ascii="Times New Roman" w:hAnsi="Times New Roman"/>
          <w:szCs w:val="24"/>
        </w:rPr>
      </w:pPr>
    </w:p>
    <w:p w:rsidR="00A92C85" w:rsidRPr="008F391B" w:rsidRDefault="00A92C85" w:rsidP="00A92C85">
      <w:pPr>
        <w:jc w:val="both"/>
        <w:rPr>
          <w:rFonts w:ascii="Times New Roman" w:hAnsi="Times New Roman"/>
          <w:szCs w:val="24"/>
        </w:rPr>
      </w:pPr>
      <w:r>
        <w:rPr>
          <w:rFonts w:ascii="Times New Roman" w:hAnsi="Times New Roman"/>
          <w:szCs w:val="24"/>
        </w:rPr>
        <w:t xml:space="preserve">Hazardní hry uvedené v § 3 odst. 2 písm. d), e), f) </w:t>
      </w:r>
      <w:r w:rsidRPr="008F391B">
        <w:rPr>
          <w:rFonts w:ascii="Times New Roman" w:hAnsi="Times New Roman"/>
          <w:szCs w:val="24"/>
        </w:rPr>
        <w:t>zákona č. 186/2016 Sb., o hazardních hrách</w:t>
      </w:r>
      <w:r>
        <w:rPr>
          <w:rFonts w:ascii="Times New Roman" w:hAnsi="Times New Roman"/>
          <w:szCs w:val="24"/>
        </w:rPr>
        <w:t xml:space="preserve"> </w:t>
      </w:r>
      <w:r w:rsidRPr="008F391B">
        <w:rPr>
          <w:rFonts w:ascii="Times New Roman" w:hAnsi="Times New Roman"/>
          <w:szCs w:val="24"/>
        </w:rPr>
        <w:t xml:space="preserve">lze na území </w:t>
      </w:r>
      <w:r>
        <w:rPr>
          <w:rFonts w:ascii="Times New Roman" w:hAnsi="Times New Roman"/>
          <w:szCs w:val="24"/>
        </w:rPr>
        <w:t>statutárního města Prostějova</w:t>
      </w:r>
      <w:r w:rsidRPr="008F391B">
        <w:rPr>
          <w:rFonts w:ascii="Times New Roman" w:hAnsi="Times New Roman"/>
          <w:szCs w:val="24"/>
        </w:rPr>
        <w:t xml:space="preserve"> provozovat pouze </w:t>
      </w:r>
      <w:r>
        <w:rPr>
          <w:rFonts w:ascii="Times New Roman" w:hAnsi="Times New Roman"/>
          <w:szCs w:val="24"/>
        </w:rPr>
        <w:t xml:space="preserve">v herních prostorech nacházejících se </w:t>
      </w:r>
      <w:r w:rsidRPr="008F391B">
        <w:rPr>
          <w:rFonts w:ascii="Times New Roman" w:hAnsi="Times New Roman"/>
          <w:szCs w:val="24"/>
        </w:rPr>
        <w:t>na místech uvedený</w:t>
      </w:r>
      <w:r>
        <w:rPr>
          <w:rFonts w:ascii="Times New Roman" w:hAnsi="Times New Roman"/>
          <w:szCs w:val="24"/>
        </w:rPr>
        <w:t>ch v příloze č. 1 této vyhlášky</w:t>
      </w:r>
      <w:r w:rsidRPr="008F391B">
        <w:rPr>
          <w:rFonts w:ascii="Times New Roman" w:hAnsi="Times New Roman"/>
          <w:szCs w:val="24"/>
        </w:rPr>
        <w:t>.</w:t>
      </w:r>
    </w:p>
    <w:p w:rsidR="00A92C85" w:rsidRPr="008F391B"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Pr="008F391B" w:rsidRDefault="00A92C85" w:rsidP="00A92C85">
      <w:pPr>
        <w:jc w:val="both"/>
        <w:rPr>
          <w:rFonts w:ascii="Times New Roman" w:hAnsi="Times New Roman"/>
          <w:bCs/>
          <w:iCs/>
          <w:szCs w:val="24"/>
        </w:rPr>
      </w:pPr>
    </w:p>
    <w:p w:rsidR="00A92C85" w:rsidRPr="008F391B" w:rsidRDefault="00A92C85" w:rsidP="00A92C85">
      <w:pPr>
        <w:jc w:val="both"/>
        <w:rPr>
          <w:rFonts w:ascii="Times New Roman" w:hAnsi="Times New Roman"/>
          <w:bCs/>
          <w:iCs/>
          <w:szCs w:val="24"/>
        </w:rPr>
      </w:pPr>
    </w:p>
    <w:p w:rsidR="00A92C85" w:rsidRPr="008F391B" w:rsidRDefault="00A92C85" w:rsidP="00A92C85">
      <w:pPr>
        <w:jc w:val="center"/>
        <w:rPr>
          <w:rFonts w:ascii="Times New Roman" w:hAnsi="Times New Roman"/>
          <w:b/>
          <w:szCs w:val="24"/>
        </w:rPr>
      </w:pPr>
      <w:r w:rsidRPr="008F391B">
        <w:rPr>
          <w:rFonts w:ascii="Times New Roman" w:hAnsi="Times New Roman"/>
          <w:b/>
          <w:szCs w:val="24"/>
        </w:rPr>
        <w:t xml:space="preserve">Článek </w:t>
      </w:r>
      <w:r>
        <w:rPr>
          <w:rFonts w:ascii="Times New Roman" w:hAnsi="Times New Roman"/>
          <w:b/>
          <w:szCs w:val="24"/>
        </w:rPr>
        <w:t>3</w:t>
      </w:r>
    </w:p>
    <w:p w:rsidR="00A92C85" w:rsidRPr="008F391B" w:rsidRDefault="00A92C85" w:rsidP="00A92C85">
      <w:pPr>
        <w:jc w:val="center"/>
        <w:rPr>
          <w:rFonts w:ascii="Times New Roman" w:hAnsi="Times New Roman"/>
          <w:b/>
          <w:szCs w:val="24"/>
        </w:rPr>
      </w:pPr>
      <w:r w:rsidRPr="008F391B">
        <w:rPr>
          <w:rFonts w:ascii="Times New Roman" w:hAnsi="Times New Roman"/>
          <w:b/>
          <w:szCs w:val="24"/>
        </w:rPr>
        <w:t>Účinnost</w:t>
      </w:r>
    </w:p>
    <w:p w:rsidR="00A92C85" w:rsidRPr="008F391B" w:rsidRDefault="00A92C85" w:rsidP="00A92C85">
      <w:pPr>
        <w:rPr>
          <w:rFonts w:ascii="Times New Roman" w:hAnsi="Times New Roman"/>
          <w:szCs w:val="24"/>
        </w:rPr>
      </w:pPr>
    </w:p>
    <w:p w:rsidR="00A92C85" w:rsidRPr="008F391B" w:rsidRDefault="00A92C85" w:rsidP="00A92C85">
      <w:pPr>
        <w:jc w:val="both"/>
        <w:rPr>
          <w:rFonts w:ascii="Times New Roman" w:hAnsi="Times New Roman"/>
          <w:b/>
          <w:bCs/>
          <w:i/>
          <w:iCs/>
          <w:szCs w:val="24"/>
        </w:rPr>
      </w:pPr>
      <w:r w:rsidRPr="008F391B">
        <w:rPr>
          <w:rFonts w:ascii="Times New Roman" w:hAnsi="Times New Roman"/>
          <w:szCs w:val="24"/>
        </w:rPr>
        <w:t xml:space="preserve">Tato vyhláška nabývá účinnosti </w:t>
      </w:r>
      <w:r>
        <w:rPr>
          <w:rFonts w:ascii="Times New Roman" w:hAnsi="Times New Roman"/>
          <w:szCs w:val="24"/>
        </w:rPr>
        <w:t>dnem 1. 7. 2017.</w:t>
      </w:r>
    </w:p>
    <w:p w:rsidR="00A92C85" w:rsidRDefault="00A92C85" w:rsidP="00A92C85">
      <w:pPr>
        <w:rPr>
          <w:rFonts w:ascii="Times New Roman" w:hAnsi="Times New Roman"/>
          <w:szCs w:val="24"/>
        </w:rPr>
      </w:pPr>
    </w:p>
    <w:p w:rsidR="00A92C85" w:rsidRDefault="00A92C85" w:rsidP="00A92C85">
      <w:pPr>
        <w:rPr>
          <w:rFonts w:ascii="Times New Roman" w:hAnsi="Times New Roman"/>
          <w:szCs w:val="24"/>
        </w:rPr>
      </w:pPr>
    </w:p>
    <w:p w:rsidR="00A92C85" w:rsidRDefault="00A92C85" w:rsidP="00A92C85">
      <w:pPr>
        <w:rPr>
          <w:rFonts w:ascii="Times New Roman" w:hAnsi="Times New Roman"/>
          <w:szCs w:val="24"/>
        </w:rPr>
      </w:pPr>
    </w:p>
    <w:p w:rsidR="00A92C85" w:rsidRPr="008F391B" w:rsidRDefault="00A92C85" w:rsidP="00A92C85">
      <w:pPr>
        <w:rPr>
          <w:rFonts w:ascii="Times New Roman" w:hAnsi="Times New Roman"/>
          <w:szCs w:val="24"/>
        </w:rPr>
      </w:pPr>
    </w:p>
    <w:p w:rsidR="00A92C85" w:rsidRPr="008F391B" w:rsidRDefault="00A92C85" w:rsidP="00A92C85">
      <w:pPr>
        <w:pStyle w:val="Zkladntext"/>
        <w:spacing w:after="0"/>
        <w:rPr>
          <w:rFonts w:ascii="Times New Roman" w:hAnsi="Times New Roman"/>
          <w:szCs w:val="24"/>
        </w:rPr>
      </w:pPr>
    </w:p>
    <w:p w:rsidR="00A92C85" w:rsidRPr="008F391B" w:rsidRDefault="00A92C85" w:rsidP="00A92C85">
      <w:pPr>
        <w:autoSpaceDE w:val="0"/>
        <w:autoSpaceDN w:val="0"/>
        <w:adjustRightInd w:val="0"/>
        <w:rPr>
          <w:rFonts w:ascii="Times New Roman" w:hAnsi="Times New Roman"/>
          <w:szCs w:val="24"/>
        </w:rPr>
      </w:pPr>
    </w:p>
    <w:tbl>
      <w:tblPr>
        <w:tblW w:w="0" w:type="auto"/>
        <w:jc w:val="center"/>
        <w:tblLook w:val="04A0" w:firstRow="1" w:lastRow="0" w:firstColumn="1" w:lastColumn="0" w:noHBand="0" w:noVBand="1"/>
      </w:tblPr>
      <w:tblGrid>
        <w:gridCol w:w="4605"/>
        <w:gridCol w:w="4605"/>
      </w:tblGrid>
      <w:tr w:rsidR="00A92C85" w:rsidRPr="008F391B" w:rsidTr="00E02C75">
        <w:trPr>
          <w:jc w:val="center"/>
        </w:trPr>
        <w:tc>
          <w:tcPr>
            <w:tcW w:w="4605" w:type="dxa"/>
          </w:tcPr>
          <w:p w:rsidR="00A92C85" w:rsidRPr="008F391B" w:rsidRDefault="00A92C85" w:rsidP="00E02C75">
            <w:pPr>
              <w:jc w:val="center"/>
              <w:rPr>
                <w:rFonts w:ascii="Times New Roman" w:hAnsi="Times New Roman"/>
                <w:szCs w:val="24"/>
              </w:rPr>
            </w:pPr>
            <w:r w:rsidRPr="008F391B">
              <w:rPr>
                <w:rFonts w:ascii="Times New Roman" w:hAnsi="Times New Roman"/>
                <w:szCs w:val="24"/>
              </w:rPr>
              <w:t>……………………………….</w:t>
            </w:r>
          </w:p>
        </w:tc>
        <w:tc>
          <w:tcPr>
            <w:tcW w:w="4605" w:type="dxa"/>
          </w:tcPr>
          <w:p w:rsidR="00A92C85" w:rsidRPr="008F391B" w:rsidRDefault="00A92C85" w:rsidP="00E02C75">
            <w:pPr>
              <w:jc w:val="center"/>
              <w:rPr>
                <w:rFonts w:ascii="Times New Roman" w:hAnsi="Times New Roman"/>
                <w:szCs w:val="24"/>
              </w:rPr>
            </w:pPr>
            <w:r w:rsidRPr="008F391B">
              <w:rPr>
                <w:rFonts w:ascii="Times New Roman" w:hAnsi="Times New Roman"/>
                <w:szCs w:val="24"/>
              </w:rPr>
              <w:t>……………………………….</w:t>
            </w:r>
          </w:p>
        </w:tc>
      </w:tr>
      <w:tr w:rsidR="00A92C85" w:rsidRPr="008F391B" w:rsidTr="00E02C75">
        <w:trPr>
          <w:jc w:val="center"/>
        </w:trPr>
        <w:tc>
          <w:tcPr>
            <w:tcW w:w="4605" w:type="dxa"/>
          </w:tcPr>
          <w:p w:rsidR="00A92C85" w:rsidRPr="008F391B" w:rsidRDefault="00A92C85" w:rsidP="00E02C75">
            <w:pPr>
              <w:jc w:val="center"/>
              <w:rPr>
                <w:rFonts w:ascii="Times New Roman" w:hAnsi="Times New Roman"/>
                <w:szCs w:val="24"/>
              </w:rPr>
            </w:pPr>
            <w:r w:rsidRPr="008F391B">
              <w:rPr>
                <w:rFonts w:ascii="Times New Roman" w:hAnsi="Times New Roman"/>
                <w:szCs w:val="24"/>
              </w:rPr>
              <w:t>RNDr. Alena Rašková</w:t>
            </w:r>
          </w:p>
          <w:p w:rsidR="00A92C85" w:rsidRPr="008F391B" w:rsidRDefault="00A92C85" w:rsidP="00E02C75">
            <w:pPr>
              <w:jc w:val="center"/>
              <w:rPr>
                <w:rFonts w:ascii="Times New Roman" w:hAnsi="Times New Roman"/>
                <w:szCs w:val="24"/>
              </w:rPr>
            </w:pPr>
            <w:r w:rsidRPr="008F391B">
              <w:rPr>
                <w:rFonts w:ascii="Times New Roman" w:hAnsi="Times New Roman"/>
                <w:szCs w:val="24"/>
              </w:rPr>
              <w:t>primátorka</w:t>
            </w:r>
          </w:p>
        </w:tc>
        <w:tc>
          <w:tcPr>
            <w:tcW w:w="4605" w:type="dxa"/>
          </w:tcPr>
          <w:p w:rsidR="00A92C85" w:rsidRPr="008F391B" w:rsidRDefault="00A92C85" w:rsidP="00E02C75">
            <w:pPr>
              <w:jc w:val="center"/>
              <w:rPr>
                <w:rFonts w:ascii="Times New Roman" w:hAnsi="Times New Roman"/>
                <w:szCs w:val="24"/>
              </w:rPr>
            </w:pPr>
            <w:r w:rsidRPr="008F391B">
              <w:rPr>
                <w:rFonts w:ascii="Times New Roman" w:hAnsi="Times New Roman"/>
                <w:szCs w:val="24"/>
              </w:rPr>
              <w:t>Ing. Zdeněk Fišer</w:t>
            </w:r>
          </w:p>
          <w:p w:rsidR="00A92C85" w:rsidRPr="008F391B" w:rsidRDefault="00A92C85" w:rsidP="00E02C75">
            <w:pPr>
              <w:ind w:left="720"/>
              <w:rPr>
                <w:rFonts w:ascii="Times New Roman" w:hAnsi="Times New Roman"/>
                <w:szCs w:val="24"/>
              </w:rPr>
            </w:pPr>
            <w:r w:rsidRPr="008F391B">
              <w:rPr>
                <w:rFonts w:ascii="Times New Roman" w:hAnsi="Times New Roman"/>
                <w:szCs w:val="24"/>
              </w:rPr>
              <w:t xml:space="preserve">      1. náměstek primátora</w:t>
            </w:r>
          </w:p>
        </w:tc>
      </w:tr>
    </w:tbl>
    <w:p w:rsidR="00A92C85" w:rsidRPr="008F391B" w:rsidRDefault="00A92C85" w:rsidP="00A92C85">
      <w:pPr>
        <w:rPr>
          <w:rFonts w:ascii="Times New Roman" w:hAnsi="Times New Roman"/>
          <w:szCs w:val="24"/>
        </w:rPr>
      </w:pPr>
    </w:p>
    <w:p w:rsidR="00A92C85" w:rsidRPr="008F391B" w:rsidRDefault="00A92C85" w:rsidP="00A92C85">
      <w:pPr>
        <w:rPr>
          <w:rFonts w:ascii="Times New Roman" w:hAnsi="Times New Roman"/>
          <w:szCs w:val="24"/>
        </w:rPr>
      </w:pPr>
    </w:p>
    <w:p w:rsidR="00A92C85" w:rsidRPr="008F391B" w:rsidRDefault="00A92C85" w:rsidP="00A92C85">
      <w:pPr>
        <w:rPr>
          <w:rFonts w:ascii="Times New Roman" w:hAnsi="Times New Roman"/>
          <w:szCs w:val="24"/>
        </w:rPr>
      </w:pPr>
    </w:p>
    <w:p w:rsidR="00A92C85" w:rsidRPr="008F391B" w:rsidRDefault="00A92C85" w:rsidP="00A92C85">
      <w:pPr>
        <w:jc w:val="both"/>
        <w:rPr>
          <w:rFonts w:ascii="Times New Roman" w:hAnsi="Times New Roman"/>
          <w:b/>
          <w:bCs/>
          <w:i/>
          <w:iCs/>
          <w:szCs w:val="24"/>
        </w:rPr>
      </w:pPr>
    </w:p>
    <w:p w:rsidR="00A92C85" w:rsidRPr="008F391B" w:rsidRDefault="00A92C85" w:rsidP="00A92C85">
      <w:pPr>
        <w:jc w:val="both"/>
        <w:rPr>
          <w:rFonts w:ascii="Times New Roman" w:hAnsi="Times New Roman"/>
          <w:b/>
          <w:bCs/>
          <w:i/>
          <w:iCs/>
          <w:szCs w:val="24"/>
        </w:rPr>
      </w:pPr>
    </w:p>
    <w:p w:rsidR="00A92C85" w:rsidRPr="008F391B" w:rsidRDefault="00A92C85" w:rsidP="00A92C85">
      <w:pPr>
        <w:jc w:val="both"/>
        <w:rPr>
          <w:rFonts w:ascii="Times New Roman" w:hAnsi="Times New Roman"/>
          <w:b/>
          <w:bCs/>
          <w:i/>
          <w:iCs/>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rPr>
      </w:pPr>
      <w:r>
        <w:rPr>
          <w:rFonts w:ascii="Times New Roman" w:hAnsi="Times New Roman"/>
          <w:b/>
          <w:szCs w:val="24"/>
        </w:rPr>
        <w:t>Příloha č. 1</w:t>
      </w:r>
      <w:r w:rsidRPr="008F391B">
        <w:rPr>
          <w:rFonts w:ascii="Times New Roman" w:hAnsi="Times New Roman"/>
          <w:b/>
          <w:szCs w:val="24"/>
        </w:rPr>
        <w:t xml:space="preserve"> k obecně závazné vyhlášce č. .../20.., o regulaci provozování hazardních her</w:t>
      </w:r>
    </w:p>
    <w:p w:rsidR="00A92C85" w:rsidRPr="008F391B" w:rsidRDefault="00A92C85" w:rsidP="00A92C85">
      <w:pPr>
        <w:ind w:right="-284"/>
        <w:jc w:val="both"/>
        <w:rPr>
          <w:rFonts w:ascii="Times New Roman" w:hAnsi="Times New Roman"/>
          <w:b/>
          <w:szCs w:val="24"/>
        </w:rPr>
      </w:pPr>
    </w:p>
    <w:p w:rsidR="00A92C85" w:rsidRPr="008F391B" w:rsidRDefault="00A92C85" w:rsidP="00A92C85">
      <w:pPr>
        <w:ind w:right="-284"/>
        <w:jc w:val="both"/>
        <w:rPr>
          <w:rFonts w:ascii="Times New Roman" w:hAnsi="Times New Roman"/>
          <w:b/>
          <w:szCs w:val="24"/>
          <w:u w:val="single"/>
        </w:rPr>
      </w:pPr>
      <w:r w:rsidRPr="008F391B">
        <w:rPr>
          <w:rFonts w:ascii="Times New Roman" w:hAnsi="Times New Roman"/>
          <w:b/>
          <w:szCs w:val="24"/>
          <w:u w:val="single"/>
        </w:rPr>
        <w:t xml:space="preserve">Místa, na nichž je povoleno provozovat hazardní hry dle </w:t>
      </w:r>
      <w:r>
        <w:rPr>
          <w:rFonts w:ascii="Times New Roman" w:hAnsi="Times New Roman"/>
          <w:b/>
          <w:szCs w:val="24"/>
          <w:u w:val="single"/>
        </w:rPr>
        <w:t>Č</w:t>
      </w:r>
      <w:r w:rsidRPr="008F391B">
        <w:rPr>
          <w:rFonts w:ascii="Times New Roman" w:hAnsi="Times New Roman"/>
          <w:b/>
          <w:szCs w:val="24"/>
          <w:u w:val="single"/>
        </w:rPr>
        <w:t>lánku 2 vyhlášky:</w:t>
      </w:r>
    </w:p>
    <w:p w:rsidR="00A92C85" w:rsidRPr="008F391B" w:rsidRDefault="00A92C85" w:rsidP="00A92C85">
      <w:pPr>
        <w:ind w:right="-284"/>
        <w:jc w:val="both"/>
        <w:rPr>
          <w:rFonts w:ascii="Times New Roman" w:hAnsi="Times New Roman"/>
          <w:b/>
          <w:szCs w:val="24"/>
          <w:u w:val="single"/>
        </w:rPr>
      </w:pPr>
    </w:p>
    <w:p w:rsidR="00A92C85" w:rsidRDefault="00A92C85" w:rsidP="00A92C85">
      <w:pPr>
        <w:ind w:right="-284"/>
        <w:jc w:val="both"/>
        <w:rPr>
          <w:rFonts w:ascii="Times New Roman" w:hAnsi="Times New Roman"/>
          <w:szCs w:val="24"/>
        </w:rPr>
        <w:sectPr w:rsidR="00A92C85" w:rsidSect="00E02C75">
          <w:pgSz w:w="11906" w:h="16838" w:code="9"/>
          <w:pgMar w:top="1701" w:right="1418" w:bottom="1701" w:left="1418" w:header="1418" w:footer="1021" w:gutter="0"/>
          <w:cols w:space="708"/>
          <w:titlePg/>
          <w:docGrid w:linePitch="326"/>
        </w:sectPr>
      </w:pPr>
    </w:p>
    <w:p w:rsidR="00A92C85" w:rsidRDefault="00A92C85" w:rsidP="00A92C85">
      <w:pPr>
        <w:ind w:right="-284"/>
        <w:jc w:val="both"/>
        <w:rPr>
          <w:rFonts w:ascii="Times New Roman" w:hAnsi="Times New Roman"/>
          <w:szCs w:val="24"/>
        </w:rPr>
      </w:pP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Brněnská   1419/64           </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nám. Sv. Čecha   39/3</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Dobrovského   1507           </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proofErr w:type="spellStart"/>
      <w:r w:rsidRPr="007A0466">
        <w:rPr>
          <w:rFonts w:ascii="Times New Roman" w:hAnsi="Times New Roman"/>
          <w:szCs w:val="24"/>
        </w:rPr>
        <w:t>Přemyslovka</w:t>
      </w:r>
      <w:proofErr w:type="spellEnd"/>
      <w:r w:rsidRPr="007A0466">
        <w:rPr>
          <w:rFonts w:ascii="Times New Roman" w:hAnsi="Times New Roman"/>
          <w:szCs w:val="24"/>
        </w:rPr>
        <w:t xml:space="preserve">   2497/31</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Dolní   2119/35              </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Puškinova   1935/13</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Dolní   2028/105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proofErr w:type="spellStart"/>
      <w:r w:rsidRPr="007A0466">
        <w:rPr>
          <w:rFonts w:ascii="Times New Roman" w:hAnsi="Times New Roman"/>
          <w:szCs w:val="24"/>
        </w:rPr>
        <w:t>Sídl</w:t>
      </w:r>
      <w:proofErr w:type="spellEnd"/>
      <w:r w:rsidRPr="007A0466">
        <w:rPr>
          <w:rFonts w:ascii="Times New Roman" w:hAnsi="Times New Roman"/>
          <w:szCs w:val="24"/>
        </w:rPr>
        <w:t>. Svobody   3576/77</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Svatoplukova   1647/2</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Svatoplukova   2463/29</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nám. E. </w:t>
      </w:r>
      <w:proofErr w:type="spellStart"/>
      <w:r w:rsidRPr="007A0466">
        <w:rPr>
          <w:rFonts w:ascii="Times New Roman" w:hAnsi="Times New Roman"/>
          <w:szCs w:val="24"/>
        </w:rPr>
        <w:t>Husserla</w:t>
      </w:r>
      <w:proofErr w:type="spellEnd"/>
      <w:r w:rsidRPr="007A0466">
        <w:rPr>
          <w:rFonts w:ascii="Times New Roman" w:hAnsi="Times New Roman"/>
          <w:szCs w:val="24"/>
        </w:rPr>
        <w:t xml:space="preserve">   1634/15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K. Svolinského   287/7</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Ječmínkova   4571/27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K. Svolinského   346/7a</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Jihoslovanská   2188/8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Šárka   3590/23</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Kostelecká   417/5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Tylova   1700/5</w:t>
      </w:r>
      <w:r w:rsidRPr="007A0466">
        <w:rPr>
          <w:rFonts w:ascii="Times New Roman" w:hAnsi="Times New Roman"/>
          <w:szCs w:val="24"/>
        </w:rPr>
        <w:tab/>
      </w:r>
      <w:r w:rsidRPr="007A0466">
        <w:rPr>
          <w:rFonts w:ascii="Times New Roman" w:hAnsi="Times New Roman"/>
          <w:szCs w:val="24"/>
        </w:rPr>
        <w:tab/>
        <w:t xml:space="preserve">         </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proofErr w:type="spellStart"/>
      <w:r w:rsidRPr="007A0466">
        <w:rPr>
          <w:rFonts w:ascii="Times New Roman" w:hAnsi="Times New Roman"/>
          <w:szCs w:val="24"/>
        </w:rPr>
        <w:t>Určická</w:t>
      </w:r>
      <w:proofErr w:type="spellEnd"/>
      <w:r w:rsidRPr="007A0466">
        <w:rPr>
          <w:rFonts w:ascii="Times New Roman" w:hAnsi="Times New Roman"/>
          <w:szCs w:val="24"/>
        </w:rPr>
        <w:t xml:space="preserve">   1220/2</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Kostelecká   367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Vápenice   2949/29</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Krapkova   3342/18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Vodní   896/30</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proofErr w:type="spellStart"/>
      <w:r w:rsidRPr="007A0466">
        <w:rPr>
          <w:rFonts w:ascii="Times New Roman" w:hAnsi="Times New Roman"/>
          <w:szCs w:val="24"/>
        </w:rPr>
        <w:t>Krasická</w:t>
      </w:r>
      <w:proofErr w:type="spellEnd"/>
      <w:r w:rsidRPr="007A0466">
        <w:rPr>
          <w:rFonts w:ascii="Times New Roman" w:hAnsi="Times New Roman"/>
          <w:szCs w:val="24"/>
        </w:rPr>
        <w:t xml:space="preserve">   942/8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proofErr w:type="spellStart"/>
      <w:r w:rsidRPr="007A0466">
        <w:rPr>
          <w:rFonts w:ascii="Times New Roman" w:hAnsi="Times New Roman"/>
          <w:szCs w:val="24"/>
        </w:rPr>
        <w:t>Vrahovická</w:t>
      </w:r>
      <w:proofErr w:type="spellEnd"/>
      <w:r w:rsidRPr="007A0466">
        <w:rPr>
          <w:rFonts w:ascii="Times New Roman" w:hAnsi="Times New Roman"/>
          <w:szCs w:val="24"/>
        </w:rPr>
        <w:t xml:space="preserve">   615/61</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Lidická   1718/14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Wolkerova   1550/2</w:t>
      </w:r>
    </w:p>
    <w:p w:rsidR="00A92C85" w:rsidRPr="007A0466" w:rsidRDefault="00A92C85" w:rsidP="00A92C85">
      <w:pPr>
        <w:ind w:right="-284"/>
        <w:jc w:val="both"/>
        <w:rPr>
          <w:rFonts w:ascii="Times New Roman" w:hAnsi="Times New Roman"/>
          <w:strike/>
          <w:szCs w:val="24"/>
        </w:rPr>
      </w:pPr>
      <w:r w:rsidRPr="007A0466">
        <w:rPr>
          <w:rFonts w:ascii="Times New Roman" w:hAnsi="Times New Roman"/>
          <w:szCs w:val="24"/>
        </w:rPr>
        <w:t xml:space="preserve">Mlýnská   947/19a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Wolkerova   1579/13</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Olomoucká   2929/27          </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Wolkerova   1698/20</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Wolkerova   1602/23</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Olomoucká   2896/47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Pernštýnské nám.  194/11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Plumlovská   926/13          </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Plumlovská   925/15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Plumlovská   4167/18</w:t>
      </w:r>
      <w:r w:rsidRPr="007A0466">
        <w:rPr>
          <w:rFonts w:ascii="Times New Roman" w:hAnsi="Times New Roman"/>
          <w:szCs w:val="24"/>
        </w:rPr>
        <w:tab/>
      </w:r>
      <w:r w:rsidRPr="007A0466">
        <w:rPr>
          <w:rFonts w:ascii="Times New Roman" w:hAnsi="Times New Roman"/>
          <w:szCs w:val="24"/>
        </w:rPr>
        <w:tab/>
      </w:r>
      <w:r w:rsidRPr="007A0466">
        <w:rPr>
          <w:rFonts w:ascii="Times New Roman" w:hAnsi="Times New Roman"/>
          <w:szCs w:val="24"/>
        </w:rPr>
        <w:tab/>
        <w:t xml:space="preserve"> </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Plumlovská   4126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Plumlovská   5127     </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Poděbradovo nám.   1378/7</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Poděbradovo nám.   984/10</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Žižkovo nám.  142/13</w:t>
      </w:r>
      <w:r w:rsidRPr="007A0466">
        <w:rPr>
          <w:rFonts w:ascii="Times New Roman" w:hAnsi="Times New Roman"/>
          <w:szCs w:val="24"/>
        </w:rPr>
        <w:tab/>
        <w:t xml:space="preserve">  </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Žižkovo nám.   89/4</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Žižkovo nám.   84/9</w:t>
      </w:r>
      <w:r w:rsidRPr="007A0466">
        <w:rPr>
          <w:rFonts w:ascii="Times New Roman" w:hAnsi="Times New Roman"/>
          <w:szCs w:val="24"/>
        </w:rPr>
        <w:tab/>
        <w:t xml:space="preserve">  </w:t>
      </w:r>
      <w:r w:rsidRPr="007A0466">
        <w:rPr>
          <w:rFonts w:ascii="Times New Roman" w:hAnsi="Times New Roman"/>
          <w:szCs w:val="24"/>
        </w:rPr>
        <w:tab/>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Josefa Hory   347/2</w:t>
      </w:r>
      <w:r w:rsidRPr="007A0466">
        <w:rPr>
          <w:rFonts w:ascii="Times New Roman" w:hAnsi="Times New Roman"/>
          <w:szCs w:val="24"/>
        </w:rPr>
        <w:tab/>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Husovo nám. 2152/2</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 xml:space="preserve">Janáčkova   3159/2           </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Olomoucká   4140/27a</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V. Outraty   2844/1</w:t>
      </w:r>
    </w:p>
    <w:p w:rsidR="00A92C85" w:rsidRPr="007A0466" w:rsidRDefault="00A92C85" w:rsidP="00A92C85">
      <w:pPr>
        <w:ind w:right="-284"/>
        <w:jc w:val="both"/>
        <w:rPr>
          <w:rFonts w:ascii="Times New Roman" w:hAnsi="Times New Roman"/>
          <w:szCs w:val="24"/>
        </w:rPr>
      </w:pPr>
      <w:r w:rsidRPr="007A0466">
        <w:rPr>
          <w:rFonts w:ascii="Times New Roman" w:hAnsi="Times New Roman"/>
          <w:szCs w:val="24"/>
        </w:rPr>
        <w:t>Plumlovská   828/53</w:t>
      </w:r>
    </w:p>
    <w:p w:rsidR="00A92C85" w:rsidRPr="007A0466"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Default="00A92C85" w:rsidP="00A92C85">
      <w:pPr>
        <w:ind w:right="-284"/>
        <w:jc w:val="both"/>
        <w:rPr>
          <w:rFonts w:ascii="Times New Roman" w:hAnsi="Times New Roman"/>
          <w:szCs w:val="24"/>
        </w:rPr>
      </w:pPr>
    </w:p>
    <w:p w:rsidR="00A92C85" w:rsidRPr="008F391B" w:rsidRDefault="00A92C85" w:rsidP="00A92C85">
      <w:pPr>
        <w:ind w:right="-284"/>
        <w:jc w:val="both"/>
        <w:rPr>
          <w:rFonts w:ascii="Times New Roman" w:hAnsi="Times New Roman"/>
          <w:szCs w:val="24"/>
        </w:rPr>
      </w:pPr>
      <w:r w:rsidRPr="008F391B">
        <w:rPr>
          <w:rFonts w:ascii="Times New Roman" w:hAnsi="Times New Roman"/>
          <w:szCs w:val="24"/>
        </w:rPr>
        <w:tab/>
      </w:r>
      <w:r w:rsidRPr="008F391B">
        <w:rPr>
          <w:rFonts w:ascii="Times New Roman" w:hAnsi="Times New Roman"/>
          <w:szCs w:val="24"/>
        </w:rPr>
        <w:tab/>
      </w:r>
    </w:p>
    <w:p w:rsidR="00A92C85" w:rsidRDefault="00A92C85" w:rsidP="00A92C85"/>
    <w:p w:rsidR="00A92C85" w:rsidRDefault="00A92C85" w:rsidP="00A92C85"/>
    <w:p w:rsidR="00A92C85" w:rsidRDefault="00A92C85" w:rsidP="00A92C85">
      <w:pPr>
        <w:jc w:val="right"/>
        <w:rPr>
          <w:rFonts w:ascii="Times New Roman" w:hAnsi="Times New Roman"/>
          <w:i/>
          <w:szCs w:val="24"/>
        </w:rPr>
      </w:pPr>
    </w:p>
    <w:p w:rsidR="00A92C85" w:rsidRDefault="00A92C85" w:rsidP="00A92C85">
      <w:pPr>
        <w:jc w:val="right"/>
        <w:rPr>
          <w:rFonts w:ascii="Times New Roman" w:hAnsi="Times New Roman"/>
          <w:i/>
          <w:szCs w:val="24"/>
        </w:rPr>
      </w:pPr>
    </w:p>
    <w:p w:rsidR="00A92C85" w:rsidRDefault="00A92C85" w:rsidP="00A92C85">
      <w:pPr>
        <w:jc w:val="right"/>
        <w:rPr>
          <w:rFonts w:ascii="Times New Roman" w:hAnsi="Times New Roman"/>
          <w:i/>
          <w:szCs w:val="24"/>
        </w:rPr>
      </w:pPr>
    </w:p>
    <w:p w:rsidR="00A92C85" w:rsidRDefault="00A92C85" w:rsidP="00A92C85">
      <w:pPr>
        <w:jc w:val="right"/>
        <w:rPr>
          <w:rFonts w:ascii="Times New Roman" w:hAnsi="Times New Roman"/>
          <w:b/>
          <w:bCs/>
          <w:i/>
          <w:iCs/>
          <w:szCs w:val="24"/>
        </w:rPr>
      </w:pPr>
      <w:r>
        <w:rPr>
          <w:rFonts w:ascii="Times New Roman" w:hAnsi="Times New Roman"/>
          <w:b/>
          <w:bCs/>
          <w:i/>
          <w:iCs/>
          <w:szCs w:val="24"/>
        </w:rPr>
        <w:t xml:space="preserve"> </w:t>
      </w: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sectPr w:rsidR="00A92C85" w:rsidSect="00E02C75">
          <w:type w:val="continuous"/>
          <w:pgSz w:w="11906" w:h="16838" w:code="9"/>
          <w:pgMar w:top="1701" w:right="1418" w:bottom="1701" w:left="1418" w:header="1418" w:footer="1021" w:gutter="0"/>
          <w:cols w:num="2" w:space="708"/>
          <w:titlePg/>
          <w:docGrid w:linePitch="326"/>
        </w:sectPr>
      </w:pPr>
    </w:p>
    <w:p w:rsidR="00A92C85" w:rsidRDefault="00A92C85" w:rsidP="00A92C85">
      <w:pPr>
        <w:jc w:val="both"/>
        <w:rPr>
          <w:rFonts w:ascii="Times New Roman" w:hAnsi="Times New Roman"/>
          <w:b/>
          <w:bCs/>
          <w:i/>
          <w:iCs/>
          <w:szCs w:val="24"/>
        </w:rPr>
      </w:pPr>
    </w:p>
    <w:p w:rsidR="00A92C85" w:rsidRPr="00AD4F17" w:rsidRDefault="00A92C85" w:rsidP="00A92C85">
      <w:pPr>
        <w:jc w:val="both"/>
        <w:rPr>
          <w:rFonts w:ascii="Times New Roman" w:hAnsi="Times New Roman"/>
          <w:bCs/>
          <w:i/>
          <w:iCs/>
          <w:sz w:val="22"/>
          <w:szCs w:val="22"/>
        </w:rPr>
      </w:pP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sidRPr="00AD4F17">
        <w:rPr>
          <w:rFonts w:ascii="Times New Roman" w:hAnsi="Times New Roman"/>
          <w:bCs/>
          <w:i/>
          <w:iCs/>
          <w:sz w:val="22"/>
          <w:szCs w:val="22"/>
        </w:rPr>
        <w:t>Příloha č. 2</w:t>
      </w:r>
    </w:p>
    <w:p w:rsidR="00A92C85" w:rsidRDefault="00A92C85" w:rsidP="00A92C85">
      <w:pPr>
        <w:rPr>
          <w:rFonts w:ascii="Times New Roman" w:hAnsi="Times New Roman"/>
          <w:b/>
          <w:bCs/>
          <w:i/>
          <w:iCs/>
          <w:szCs w:val="24"/>
        </w:rPr>
      </w:pPr>
    </w:p>
    <w:p w:rsidR="00A92C85" w:rsidRDefault="00A92C85" w:rsidP="00A92C85">
      <w:pPr>
        <w:jc w:val="center"/>
        <w:rPr>
          <w:rFonts w:ascii="Times New Roman" w:hAnsi="Times New Roman"/>
          <w:b/>
          <w:bCs/>
          <w:iCs/>
          <w:sz w:val="36"/>
          <w:szCs w:val="36"/>
        </w:rPr>
      </w:pPr>
      <w:r w:rsidRPr="0099706C">
        <w:rPr>
          <w:rFonts w:ascii="Times New Roman" w:hAnsi="Times New Roman"/>
          <w:b/>
          <w:bCs/>
          <w:iCs/>
          <w:sz w:val="36"/>
          <w:szCs w:val="36"/>
        </w:rPr>
        <w:t>Důvodová zpráva</w:t>
      </w:r>
    </w:p>
    <w:p w:rsidR="00A92C85" w:rsidRDefault="00A92C85" w:rsidP="00A92C85">
      <w:pPr>
        <w:rPr>
          <w:rFonts w:ascii="Times New Roman" w:hAnsi="Times New Roman"/>
          <w:b/>
          <w:bCs/>
          <w:iCs/>
          <w:sz w:val="36"/>
          <w:szCs w:val="36"/>
        </w:rPr>
      </w:pPr>
    </w:p>
    <w:p w:rsidR="00A92C85" w:rsidRPr="0099706C" w:rsidRDefault="00A92C85" w:rsidP="00A92C85">
      <w:pPr>
        <w:pStyle w:val="NormlnIMP"/>
        <w:spacing w:after="120" w:line="240" w:lineRule="auto"/>
        <w:rPr>
          <w:szCs w:val="24"/>
        </w:rPr>
      </w:pPr>
      <w:r w:rsidRPr="0099706C">
        <w:rPr>
          <w:szCs w:val="24"/>
        </w:rPr>
        <w:t>k návrhu obecně závazné vyhláška statutárního města Prostějova o regulaci provozování hazardních her</w:t>
      </w:r>
    </w:p>
    <w:p w:rsidR="00A92C85" w:rsidRDefault="00A92C85" w:rsidP="00A92C85">
      <w:pPr>
        <w:rPr>
          <w:rFonts w:ascii="Times New Roman" w:hAnsi="Times New Roman"/>
          <w:b/>
          <w:bCs/>
          <w:iCs/>
          <w:sz w:val="36"/>
          <w:szCs w:val="36"/>
        </w:rPr>
      </w:pPr>
    </w:p>
    <w:p w:rsidR="00A92C85" w:rsidRPr="00D430B9" w:rsidRDefault="00A92C85" w:rsidP="00A92C85">
      <w:pPr>
        <w:numPr>
          <w:ilvl w:val="0"/>
          <w:numId w:val="38"/>
        </w:numPr>
        <w:ind w:left="360"/>
        <w:rPr>
          <w:rFonts w:ascii="Times New Roman" w:hAnsi="Times New Roman"/>
          <w:b/>
          <w:bCs/>
          <w:iCs/>
          <w:sz w:val="28"/>
          <w:szCs w:val="28"/>
        </w:rPr>
      </w:pPr>
      <w:r w:rsidRPr="00D430B9">
        <w:rPr>
          <w:rFonts w:ascii="Times New Roman" w:hAnsi="Times New Roman"/>
          <w:b/>
          <w:bCs/>
          <w:iCs/>
          <w:sz w:val="28"/>
          <w:szCs w:val="28"/>
        </w:rPr>
        <w:t xml:space="preserve">Nová </w:t>
      </w:r>
      <w:r>
        <w:rPr>
          <w:rFonts w:ascii="Times New Roman" w:hAnsi="Times New Roman"/>
          <w:b/>
          <w:bCs/>
          <w:iCs/>
          <w:sz w:val="28"/>
          <w:szCs w:val="28"/>
        </w:rPr>
        <w:t xml:space="preserve">zákonná </w:t>
      </w:r>
      <w:r w:rsidRPr="00D430B9">
        <w:rPr>
          <w:rFonts w:ascii="Times New Roman" w:hAnsi="Times New Roman"/>
          <w:b/>
          <w:bCs/>
          <w:iCs/>
          <w:sz w:val="28"/>
          <w:szCs w:val="28"/>
        </w:rPr>
        <w:t xml:space="preserve">právní úprava regulace hazardních her </w:t>
      </w:r>
    </w:p>
    <w:p w:rsidR="00A92C85" w:rsidRDefault="00A92C85" w:rsidP="00A92C85">
      <w:pPr>
        <w:pStyle w:val="NormlnIMP"/>
        <w:spacing w:after="60" w:line="240" w:lineRule="auto"/>
        <w:rPr>
          <w:szCs w:val="24"/>
        </w:rPr>
      </w:pPr>
      <w:r w:rsidRPr="0042758E">
        <w:rPr>
          <w:szCs w:val="24"/>
        </w:rPr>
        <w:t xml:space="preserve">Dne 1. 1. 2017 nabyl účinnosti zákon č. 186/2016 Sb., o hazardních hrách (dále jen „zákon o hazardu)“), který nahradil stávající zákon č. 202/1990 Sb., o loteriích a jiných podobných hrách (dále jen „zákon o loteriích“). </w:t>
      </w:r>
    </w:p>
    <w:p w:rsidR="00A92C85"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Pr>
          <w:szCs w:val="24"/>
        </w:rPr>
        <w:t xml:space="preserve">Nově přijatá právní úprava regulace hazardu přináší řadu nových omezení a povinností pro provozovatele hazardních her, např.: </w:t>
      </w:r>
    </w:p>
    <w:p w:rsidR="00A92C85" w:rsidRDefault="00A92C85" w:rsidP="00A92C85">
      <w:pPr>
        <w:pStyle w:val="NormlnIMP"/>
        <w:spacing w:after="60" w:line="240" w:lineRule="auto"/>
        <w:rPr>
          <w:szCs w:val="24"/>
        </w:rPr>
      </w:pPr>
    </w:p>
    <w:p w:rsidR="00A92C85" w:rsidRDefault="00A92C85" w:rsidP="00A92C85">
      <w:pPr>
        <w:pStyle w:val="NormlnIMP"/>
        <w:numPr>
          <w:ilvl w:val="0"/>
          <w:numId w:val="37"/>
        </w:numPr>
        <w:spacing w:after="60" w:line="240" w:lineRule="auto"/>
        <w:rPr>
          <w:szCs w:val="24"/>
        </w:rPr>
      </w:pPr>
      <w:r>
        <w:rPr>
          <w:szCs w:val="24"/>
        </w:rPr>
        <w:t>povinnost umožnit účastníkům hazardní hry nastavení sebeomezujících opatření (§ 14 a násl. zákona o hazardu),</w:t>
      </w:r>
    </w:p>
    <w:p w:rsidR="00A92C85" w:rsidRDefault="00A92C85" w:rsidP="00A92C85">
      <w:pPr>
        <w:pStyle w:val="NormlnIMP"/>
        <w:numPr>
          <w:ilvl w:val="0"/>
          <w:numId w:val="37"/>
        </w:numPr>
        <w:spacing w:after="60" w:line="240" w:lineRule="auto"/>
        <w:rPr>
          <w:szCs w:val="24"/>
        </w:rPr>
      </w:pPr>
      <w:r>
        <w:rPr>
          <w:szCs w:val="24"/>
        </w:rPr>
        <w:t>povinnost provozovatelů hazardu provádět identifikaci návštěvníků herních prostor (herna a kasino) a ověřovat, zda návštěvník není zapsán v novém rejstříku osob vyloučených z účasti na hazardních hrách,</w:t>
      </w:r>
    </w:p>
    <w:p w:rsidR="00A92C85" w:rsidRDefault="00A92C85" w:rsidP="00A92C85">
      <w:pPr>
        <w:pStyle w:val="NormlnIMP"/>
        <w:numPr>
          <w:ilvl w:val="0"/>
          <w:numId w:val="37"/>
        </w:numPr>
        <w:spacing w:after="60" w:line="240" w:lineRule="auto"/>
        <w:rPr>
          <w:szCs w:val="24"/>
        </w:rPr>
      </w:pPr>
      <w:r>
        <w:rPr>
          <w:szCs w:val="24"/>
        </w:rPr>
        <w:t>povinnost nevpustit do herního prostoru osobu, která je zapsána v rejstříku fyzických osob vyloučených z účasti na hazardních hrách,</w:t>
      </w:r>
    </w:p>
    <w:p w:rsidR="00A92C85" w:rsidRDefault="00A92C85" w:rsidP="00A92C85">
      <w:pPr>
        <w:pStyle w:val="NormlnIMP"/>
        <w:numPr>
          <w:ilvl w:val="0"/>
          <w:numId w:val="37"/>
        </w:numPr>
        <w:spacing w:after="60" w:line="240" w:lineRule="auto"/>
        <w:rPr>
          <w:szCs w:val="24"/>
        </w:rPr>
      </w:pPr>
      <w:r>
        <w:rPr>
          <w:szCs w:val="24"/>
        </w:rPr>
        <w:t>povinnost vybavit hrací prostor monitorovacím systémem, který zaznamenává jak vstup do herny tak celý hrací prostor,</w:t>
      </w:r>
    </w:p>
    <w:p w:rsidR="00A92C85" w:rsidRPr="00B32343" w:rsidRDefault="00A92C85" w:rsidP="00A92C85">
      <w:pPr>
        <w:pStyle w:val="NormlnIMP"/>
        <w:numPr>
          <w:ilvl w:val="0"/>
          <w:numId w:val="37"/>
        </w:numPr>
        <w:spacing w:after="60" w:line="240" w:lineRule="auto"/>
        <w:rPr>
          <w:szCs w:val="24"/>
        </w:rPr>
      </w:pPr>
      <w:r>
        <w:rPr>
          <w:szCs w:val="24"/>
        </w:rPr>
        <w:t>předepsaný minimální počet výherních hracích přístrojů (15 pozic technické hry)</w:t>
      </w:r>
    </w:p>
    <w:p w:rsidR="00A92C85" w:rsidRDefault="00A92C85" w:rsidP="00A92C85">
      <w:pPr>
        <w:pStyle w:val="NormlnIMP"/>
        <w:numPr>
          <w:ilvl w:val="0"/>
          <w:numId w:val="37"/>
        </w:numPr>
        <w:spacing w:after="60" w:line="240" w:lineRule="auto"/>
        <w:rPr>
          <w:szCs w:val="24"/>
        </w:rPr>
      </w:pPr>
      <w:r>
        <w:rPr>
          <w:szCs w:val="24"/>
        </w:rPr>
        <w:t>zákaz provozovat hernu v době od 3:00 do 10:00 hod,</w:t>
      </w:r>
    </w:p>
    <w:p w:rsidR="00A92C85" w:rsidRDefault="00A92C85" w:rsidP="00A92C85">
      <w:pPr>
        <w:pStyle w:val="NormlnIMP"/>
        <w:numPr>
          <w:ilvl w:val="0"/>
          <w:numId w:val="37"/>
        </w:numPr>
        <w:spacing w:after="60" w:line="240" w:lineRule="auto"/>
        <w:rPr>
          <w:szCs w:val="24"/>
        </w:rPr>
      </w:pPr>
      <w:r>
        <w:rPr>
          <w:szCs w:val="24"/>
        </w:rPr>
        <w:t>zákaz umístění reklamy, či jakékoliv jiné propagace na budově, ve kterém se nachází herní prostor,</w:t>
      </w:r>
    </w:p>
    <w:p w:rsidR="00A92C85" w:rsidRDefault="00A92C85" w:rsidP="00A92C85">
      <w:pPr>
        <w:pStyle w:val="NormlnIMP"/>
        <w:numPr>
          <w:ilvl w:val="0"/>
          <w:numId w:val="37"/>
        </w:numPr>
        <w:spacing w:after="60" w:line="240" w:lineRule="auto"/>
        <w:rPr>
          <w:szCs w:val="24"/>
        </w:rPr>
      </w:pPr>
      <w:r>
        <w:rPr>
          <w:szCs w:val="24"/>
        </w:rPr>
        <w:t>zákaz poskytovat účastníkovi hazardní hry potraviny, nápoje, tabákové výrobky, atd.,</w:t>
      </w:r>
    </w:p>
    <w:p w:rsidR="00A92C85" w:rsidRDefault="00A92C85" w:rsidP="00A92C85">
      <w:pPr>
        <w:pStyle w:val="NormlnIMP"/>
        <w:numPr>
          <w:ilvl w:val="0"/>
          <w:numId w:val="37"/>
        </w:numPr>
        <w:spacing w:after="60" w:line="240" w:lineRule="auto"/>
        <w:rPr>
          <w:szCs w:val="24"/>
        </w:rPr>
      </w:pPr>
      <w:r>
        <w:rPr>
          <w:szCs w:val="24"/>
        </w:rPr>
        <w:t xml:space="preserve">zákaz provozovat hazardní hry ve </w:t>
      </w:r>
      <w:r w:rsidRPr="0056761C">
        <w:rPr>
          <w:szCs w:val="24"/>
        </w:rPr>
        <w:t>škole a školském zařízení, zařízení pro volnočasové aktivity dětí a mládeže, zařízení sociálních služeb, zdravotnickém zařízení poskytujícím ambulantní, jednodenní nebo lůžkovou péči, v prostoru sloužícím církvi nebo náboženské společnosti a v zařízení složky integrovaného záchranného systému.</w:t>
      </w:r>
    </w:p>
    <w:p w:rsidR="00A92C85"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Pr>
          <w:szCs w:val="24"/>
        </w:rPr>
        <w:t>Je tedy zřejmé, že oproti zrušenému zákonu o loteriích dochází k výrazné snaze snížit negativní důsledky spojené s hazardem již na celostátní úrovni. I přes to však zákon o hazardu ve svém § 12 odst. 1, shodně s přechozí právní úpravou, zmocňuje obec „</w:t>
      </w:r>
      <w:r w:rsidRPr="008E1FC7">
        <w:rPr>
          <w:i/>
          <w:szCs w:val="24"/>
        </w:rPr>
        <w:t xml:space="preserve">vydat obecně závaznou vyhlášku, ve které stanoví, že </w:t>
      </w:r>
      <w:r w:rsidRPr="00B84796">
        <w:rPr>
          <w:b/>
          <w:i/>
          <w:szCs w:val="24"/>
        </w:rPr>
        <w:t>bingo, technická hra, živá hra nebo turnaj malého rozsahu</w:t>
      </w:r>
      <w:r w:rsidRPr="008E1FC7">
        <w:rPr>
          <w:i/>
          <w:szCs w:val="24"/>
        </w:rPr>
        <w:t xml:space="preserve"> mohou být provozovány pouze na </w:t>
      </w:r>
      <w:r w:rsidRPr="00B84796">
        <w:rPr>
          <w:b/>
          <w:i/>
          <w:szCs w:val="24"/>
        </w:rPr>
        <w:t>místech</w:t>
      </w:r>
      <w:r w:rsidRPr="008E1FC7">
        <w:rPr>
          <w:i/>
          <w:szCs w:val="24"/>
        </w:rPr>
        <w:t xml:space="preserve"> a v </w:t>
      </w:r>
      <w:r w:rsidRPr="00B84796">
        <w:rPr>
          <w:b/>
          <w:i/>
          <w:szCs w:val="24"/>
        </w:rPr>
        <w:t>čase</w:t>
      </w:r>
      <w:r w:rsidRPr="008E1FC7">
        <w:rPr>
          <w:i/>
          <w:szCs w:val="24"/>
        </w:rPr>
        <w:t xml:space="preserve"> určených obecně závaznou vyhláškou, nebo stanoví, na kterých místech a v jakém čase je v obci provozování těchto hazardních her zakázáno, anebo stanoví, že provozování těchto hazardních her je na celém území obce zcela zakázáno</w:t>
      </w:r>
      <w:r w:rsidRPr="008E1FC7">
        <w:rPr>
          <w:szCs w:val="24"/>
        </w:rPr>
        <w:t>.</w:t>
      </w:r>
      <w:r>
        <w:rPr>
          <w:szCs w:val="24"/>
        </w:rPr>
        <w:t>“</w:t>
      </w:r>
    </w:p>
    <w:p w:rsidR="00A92C85"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Pr>
          <w:szCs w:val="24"/>
        </w:rPr>
        <w:t xml:space="preserve">Obec tedy může provoz </w:t>
      </w:r>
      <w:r w:rsidRPr="00B84796">
        <w:rPr>
          <w:b/>
          <w:szCs w:val="24"/>
        </w:rPr>
        <w:t>uvedených druhů</w:t>
      </w:r>
      <w:r>
        <w:rPr>
          <w:szCs w:val="24"/>
        </w:rPr>
        <w:t xml:space="preserve"> hazardních her regulovat co do </w:t>
      </w:r>
      <w:r w:rsidRPr="0044391A">
        <w:rPr>
          <w:b/>
          <w:szCs w:val="24"/>
        </w:rPr>
        <w:t xml:space="preserve">místa </w:t>
      </w:r>
      <w:r>
        <w:rPr>
          <w:szCs w:val="24"/>
        </w:rPr>
        <w:t xml:space="preserve">a co do </w:t>
      </w:r>
      <w:r w:rsidRPr="0044391A">
        <w:rPr>
          <w:b/>
          <w:szCs w:val="24"/>
        </w:rPr>
        <w:t>času</w:t>
      </w:r>
      <w:r>
        <w:rPr>
          <w:b/>
          <w:szCs w:val="24"/>
        </w:rPr>
        <w:t xml:space="preserve"> </w:t>
      </w:r>
      <w:r w:rsidRPr="0044391A">
        <w:rPr>
          <w:szCs w:val="24"/>
        </w:rPr>
        <w:t>jejich provoz</w:t>
      </w:r>
      <w:r>
        <w:rPr>
          <w:szCs w:val="24"/>
        </w:rPr>
        <w:t xml:space="preserve">ování. </w:t>
      </w:r>
    </w:p>
    <w:p w:rsidR="00A92C85"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Pr>
          <w:szCs w:val="24"/>
        </w:rPr>
        <w:t>Možnost regulovat provozování hazardních her na území obce vyplývá rovněž již ze samotného z </w:t>
      </w:r>
      <w:proofErr w:type="spellStart"/>
      <w:r>
        <w:rPr>
          <w:szCs w:val="24"/>
        </w:rPr>
        <w:t>ust</w:t>
      </w:r>
      <w:proofErr w:type="spellEnd"/>
      <w:r>
        <w:rPr>
          <w:szCs w:val="24"/>
        </w:rPr>
        <w:t xml:space="preserve">. § 10 písm. a) </w:t>
      </w:r>
      <w:r w:rsidRPr="008F391B">
        <w:rPr>
          <w:szCs w:val="24"/>
        </w:rPr>
        <w:t>zákona č. 128/2000 Sb., o obcích (obecní zřízení), ve znění pozdějších předpisů</w:t>
      </w:r>
      <w:r>
        <w:rPr>
          <w:szCs w:val="24"/>
        </w:rPr>
        <w:t xml:space="preserve">, aniž by k tomu bylo potřeba dalšího zmocnění zvláštním zákonem. </w:t>
      </w:r>
    </w:p>
    <w:p w:rsidR="00A92C85"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p>
    <w:p w:rsidR="00A92C85" w:rsidRPr="00D430B9" w:rsidRDefault="00A92C85" w:rsidP="00A92C85">
      <w:pPr>
        <w:pStyle w:val="NormlnIMP"/>
        <w:numPr>
          <w:ilvl w:val="0"/>
          <w:numId w:val="38"/>
        </w:numPr>
        <w:spacing w:after="60" w:line="240" w:lineRule="auto"/>
        <w:ind w:left="360"/>
        <w:rPr>
          <w:b/>
          <w:sz w:val="28"/>
          <w:szCs w:val="28"/>
        </w:rPr>
      </w:pPr>
      <w:r w:rsidRPr="00D430B9">
        <w:rPr>
          <w:b/>
          <w:sz w:val="28"/>
          <w:szCs w:val="28"/>
        </w:rPr>
        <w:t xml:space="preserve">Současný stav regulace hazardních na území statutárního města Prostějova </w:t>
      </w:r>
    </w:p>
    <w:p w:rsidR="00A92C85" w:rsidRDefault="00A92C85" w:rsidP="00A92C85">
      <w:pPr>
        <w:pStyle w:val="NormlnIMP"/>
        <w:spacing w:after="60" w:line="240" w:lineRule="auto"/>
        <w:rPr>
          <w:szCs w:val="24"/>
        </w:rPr>
      </w:pPr>
      <w:r w:rsidRPr="0042758E">
        <w:rPr>
          <w:szCs w:val="24"/>
        </w:rPr>
        <w:t xml:space="preserve">Statutární město Prostějov v současnosti reguluje místa provozování sázkových her, loterií a jiných podobných her na základě obecně závazné vyhlášky č. 2/2012, kterou se stanovují místa na území města Prostějova, na kterých lze provozovat sázkové hry a loterie a jiné podobné hry (dále jen „OZV č. 2/2012“). </w:t>
      </w:r>
    </w:p>
    <w:p w:rsidR="00A92C85" w:rsidRDefault="00A92C85" w:rsidP="00A92C85">
      <w:pPr>
        <w:pStyle w:val="NormlnIMP"/>
        <w:spacing w:after="60" w:line="240" w:lineRule="auto"/>
        <w:rPr>
          <w:szCs w:val="24"/>
        </w:rPr>
      </w:pPr>
    </w:p>
    <w:p w:rsidR="00A92C85" w:rsidRPr="0042758E" w:rsidRDefault="00A92C85" w:rsidP="00A92C85">
      <w:pPr>
        <w:pStyle w:val="NormlnIMP"/>
        <w:spacing w:after="60" w:line="240" w:lineRule="auto"/>
        <w:rPr>
          <w:b/>
          <w:szCs w:val="24"/>
        </w:rPr>
      </w:pPr>
      <w:r w:rsidRPr="0042758E">
        <w:rPr>
          <w:b/>
          <w:szCs w:val="24"/>
        </w:rPr>
        <w:t xml:space="preserve">OZV č. 2/2012 </w:t>
      </w:r>
    </w:p>
    <w:p w:rsidR="00A92C85" w:rsidRPr="00D430B9" w:rsidRDefault="00A92C85" w:rsidP="00A92C85">
      <w:pPr>
        <w:pStyle w:val="NormlnIMP"/>
        <w:spacing w:after="60" w:line="240" w:lineRule="auto"/>
        <w:rPr>
          <w:szCs w:val="24"/>
        </w:rPr>
      </w:pPr>
      <w:r w:rsidRPr="00D430B9">
        <w:rPr>
          <w:szCs w:val="24"/>
          <w:u w:val="single"/>
        </w:rPr>
        <w:t>V souladu s přechodným ustanovením uvedeným v § 138 odst. 2 zákona o hazardu zůstává stávající OZV č. 2/2012 po neomezenou dobu v platnosti i po zrušení zákon o loteriích</w:t>
      </w:r>
      <w:r w:rsidRPr="00D430B9">
        <w:rPr>
          <w:szCs w:val="24"/>
        </w:rPr>
        <w:t xml:space="preserve">. </w:t>
      </w:r>
    </w:p>
    <w:p w:rsidR="00A92C85"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Pr>
          <w:szCs w:val="24"/>
        </w:rPr>
        <w:t>Zákon o hazardu v § 12 odst. 1</w:t>
      </w:r>
      <w:r w:rsidRPr="0042758E">
        <w:rPr>
          <w:szCs w:val="24"/>
        </w:rPr>
        <w:t xml:space="preserve"> obdobně jako zákon o loteriích zmocňuje obec vydat obecně závaznou vyhlášku, kterou je možné regulovat provoz v zákoně vymezených hazardních her pouze na určitých místech či v určitém čase, anebo provoz těchto her na celém území obce zakázat.  </w:t>
      </w:r>
    </w:p>
    <w:p w:rsidR="00A92C85" w:rsidRPr="0042758E" w:rsidRDefault="00A92C85" w:rsidP="00A92C85">
      <w:pPr>
        <w:pStyle w:val="NormlnIMP"/>
        <w:spacing w:after="60" w:line="240" w:lineRule="auto"/>
        <w:rPr>
          <w:szCs w:val="24"/>
        </w:rPr>
      </w:pPr>
    </w:p>
    <w:p w:rsidR="00A92C85" w:rsidRDefault="00A92C85" w:rsidP="00A92C85">
      <w:pPr>
        <w:pStyle w:val="NormlnIMP"/>
        <w:spacing w:after="60" w:line="240" w:lineRule="auto"/>
        <w:rPr>
          <w:szCs w:val="24"/>
        </w:rPr>
      </w:pPr>
      <w:r w:rsidRPr="0042758E">
        <w:rPr>
          <w:szCs w:val="24"/>
        </w:rPr>
        <w:t xml:space="preserve">Stávající regulace hazardu je dle OZV č. 2/2012 založena na pozitivním výčtu adresních veřejně přístupných míst na území statutárního města Prostějova, na kterých lze provozovat uvedené sázkové hry, loterie a jiné podobné hry (dle nové právní úpravy označované jako hazardní hry). Tato adresní místa jsou uvedena v příloze OZV č. 2/2012. </w:t>
      </w:r>
      <w:r>
        <w:rPr>
          <w:szCs w:val="24"/>
        </w:rPr>
        <w:t xml:space="preserve">Těchto míst je po celou dobu platnosti OZV č. 2/2012 celkem 76. Tato místa byla vybrána „zakonzervováním“ skutečného počtu a míst provozoven </w:t>
      </w:r>
      <w:r>
        <w:rPr>
          <w:bCs/>
          <w:iCs/>
          <w:szCs w:val="24"/>
        </w:rPr>
        <w:t xml:space="preserve">loterií a jiných podobných her </w:t>
      </w:r>
      <w:r>
        <w:rPr>
          <w:szCs w:val="24"/>
        </w:rPr>
        <w:t>ke dni vydání obecně závazné vyhlášky. Výjimku tvořilo 5 provozoven, které se n</w:t>
      </w:r>
      <w:r w:rsidRPr="00F03030">
        <w:rPr>
          <w:szCs w:val="24"/>
        </w:rPr>
        <w:t>acházely</w:t>
      </w:r>
      <w:r>
        <w:rPr>
          <w:szCs w:val="24"/>
        </w:rPr>
        <w:t xml:space="preserve"> v blízkosti školy, školského zařízení či veřejné budovy. Tyto provozovny byly po nabytí účinnosti OZV č. 2/2012 zrušeny. </w:t>
      </w:r>
    </w:p>
    <w:p w:rsidR="00A92C85" w:rsidRDefault="00A92C85" w:rsidP="00A92C85">
      <w:pPr>
        <w:pStyle w:val="NormlnIMP"/>
        <w:spacing w:after="60" w:line="240" w:lineRule="auto"/>
        <w:rPr>
          <w:szCs w:val="24"/>
        </w:rPr>
      </w:pPr>
    </w:p>
    <w:p w:rsidR="00A92C85" w:rsidRPr="00034EBC" w:rsidRDefault="00A92C85" w:rsidP="00A92C85">
      <w:pPr>
        <w:pStyle w:val="NormlnIMP"/>
        <w:spacing w:after="60" w:line="240" w:lineRule="auto"/>
        <w:rPr>
          <w:b/>
          <w:szCs w:val="24"/>
        </w:rPr>
      </w:pPr>
      <w:r w:rsidRPr="00034EBC">
        <w:rPr>
          <w:b/>
          <w:szCs w:val="24"/>
        </w:rPr>
        <w:t>Aktuální problémy spojené s tímto způsobem regulace</w:t>
      </w:r>
    </w:p>
    <w:p w:rsidR="00A92C85" w:rsidRPr="0042758E" w:rsidRDefault="00A92C85" w:rsidP="00A92C85">
      <w:pPr>
        <w:pStyle w:val="NormlnIMP"/>
        <w:spacing w:after="60" w:line="240" w:lineRule="auto"/>
        <w:rPr>
          <w:szCs w:val="24"/>
        </w:rPr>
      </w:pPr>
      <w:r>
        <w:rPr>
          <w:szCs w:val="24"/>
        </w:rPr>
        <w:t>Zvolený</w:t>
      </w:r>
      <w:r w:rsidRPr="0042758E">
        <w:rPr>
          <w:szCs w:val="24"/>
        </w:rPr>
        <w:t xml:space="preserve"> způsob regulace se však stal předmětem dotazu Úřadu na ochranu hospodářské soutěže (dále jen ÚOHS), který v rámci své dozorové činnosti nad průběhem hospodářské soutěže dopisem ze dne 21. 12. 2016 požádat statutární město Prostějov o zaslání informací a podkladů k objasnění cíle a způsobu regulace hazardních her na území města. ÚOHS zejména požadoval zdůvodnit cíl regulace, dále vysvětlit vztah proporcionality mezi zvoleným cílem a způsobem regulace a doložit, že zvolený způsob regulace nepůsobí diskriminačně vůči soutěžitelům, kteří se na trhu nacházejí či na něj uvažují vstoupit. Správní řízení se statutárním městem Prostějovem zahájeno dosud ze strany ÚOHS nebylo zahájeno. Pokud by se tak stalo a ÚOHS by shledal, že statutární město vydáním obecně závazné vyhlášky narušilo hospodářskou soutěž, je oprávněn ÚOHS uložit za takový správní delikt v souladu s </w:t>
      </w:r>
      <w:proofErr w:type="spellStart"/>
      <w:r w:rsidRPr="0042758E">
        <w:rPr>
          <w:szCs w:val="24"/>
        </w:rPr>
        <w:t>ust</w:t>
      </w:r>
      <w:proofErr w:type="spellEnd"/>
      <w:r w:rsidRPr="0042758E">
        <w:rPr>
          <w:szCs w:val="24"/>
        </w:rPr>
        <w:t xml:space="preserve">. § 22aa odst. 2 zákona č. 143/2001 Sb., o ochraně hospodářské soutěže a o změně některých zákonů pokutu až do výše 10 000 000 Kč. </w:t>
      </w:r>
    </w:p>
    <w:p w:rsidR="00A92C85" w:rsidRPr="0042758E" w:rsidRDefault="00A92C85" w:rsidP="00A92C85">
      <w:pPr>
        <w:pStyle w:val="NormlnIMP"/>
        <w:spacing w:after="60" w:line="240" w:lineRule="auto"/>
        <w:rPr>
          <w:szCs w:val="24"/>
        </w:rPr>
      </w:pPr>
    </w:p>
    <w:p w:rsidR="00A92C85" w:rsidRPr="0042758E" w:rsidRDefault="00A92C85" w:rsidP="00A92C85">
      <w:pPr>
        <w:pStyle w:val="NormlnIMP"/>
        <w:spacing w:after="60" w:line="240" w:lineRule="auto"/>
        <w:rPr>
          <w:szCs w:val="24"/>
        </w:rPr>
      </w:pPr>
      <w:r w:rsidRPr="0042758E">
        <w:rPr>
          <w:szCs w:val="24"/>
        </w:rPr>
        <w:t>ÚOHS ve svém stanovisku k regulaci provozu loterií a jiných podobných her obcemi ze dne 1. 9. 2014 postup regulace zvolený statuárním městem Prostějovem výslovně nevylučuje. Pouze požaduje, aby byla obec „</w:t>
      </w:r>
      <w:r w:rsidRPr="0042758E">
        <w:rPr>
          <w:i/>
          <w:szCs w:val="24"/>
        </w:rPr>
        <w:t>sto prokázat, proč je povolení pouze určitého počtu provozoven (např. 3) postačující k dosažení legitimního zájmu obce – v zásadě ochrany veřejného pořádku, ale proč by vyšší počet (např. 4) již naplnění takového zájmu neumožnil, stejně jako vysvětlit, podle jakého kritéria byly vybrány právě tyto provozovny. Současně by bylo nezbytné prokázat, že zvoleným postupem nedochází k diskriminaci soutěžitelů, kteří na trhu již působí, ani těch, kteří by na něj zamýšleli vstoupit</w:t>
      </w:r>
      <w:r w:rsidRPr="0042758E">
        <w:rPr>
          <w:szCs w:val="24"/>
        </w:rPr>
        <w:t>.“</w:t>
      </w:r>
    </w:p>
    <w:p w:rsidR="00A92C85" w:rsidRPr="0042758E" w:rsidRDefault="00A92C85" w:rsidP="00A92C85">
      <w:pPr>
        <w:pStyle w:val="NormlnIMP"/>
        <w:spacing w:after="60" w:line="240" w:lineRule="auto"/>
        <w:rPr>
          <w:szCs w:val="24"/>
        </w:rPr>
      </w:pPr>
    </w:p>
    <w:p w:rsidR="00A92C85" w:rsidRDefault="00A92C85" w:rsidP="00A92C85">
      <w:pPr>
        <w:autoSpaceDE w:val="0"/>
        <w:autoSpaceDN w:val="0"/>
        <w:adjustRightInd w:val="0"/>
        <w:jc w:val="both"/>
        <w:rPr>
          <w:rFonts w:ascii="Times New Roman" w:eastAsia="Calibri" w:hAnsi="Times New Roman"/>
          <w:szCs w:val="24"/>
        </w:rPr>
      </w:pPr>
      <w:r w:rsidRPr="0042758E">
        <w:rPr>
          <w:rFonts w:ascii="Times New Roman" w:hAnsi="Times New Roman"/>
          <w:szCs w:val="24"/>
        </w:rPr>
        <w:t xml:space="preserve">Stejně Ministerstvo vnitra ČR </w:t>
      </w:r>
      <w:r>
        <w:rPr>
          <w:rFonts w:ascii="Times New Roman" w:hAnsi="Times New Roman"/>
          <w:szCs w:val="24"/>
        </w:rPr>
        <w:t xml:space="preserve">(dále jen MV) </w:t>
      </w:r>
      <w:r w:rsidRPr="0042758E">
        <w:rPr>
          <w:rFonts w:ascii="Times New Roman" w:hAnsi="Times New Roman"/>
          <w:szCs w:val="24"/>
        </w:rPr>
        <w:t xml:space="preserve">ve svém aktuálním právním výkladu </w:t>
      </w:r>
      <w:r w:rsidRPr="0042758E">
        <w:rPr>
          <w:rFonts w:ascii="Times New Roman" w:eastAsia="Calibri" w:hAnsi="Times New Roman"/>
          <w:bCs/>
          <w:szCs w:val="24"/>
        </w:rPr>
        <w:t>k obecně závazným vyhláškám regulujícím provozování některých hazardních her na území obce ze dne 1. 9. 2016 možnost určení adresních míst provozoven nevylučuje. Pouze k tomu uvádí, že se „</w:t>
      </w:r>
      <w:r w:rsidRPr="0042758E">
        <w:rPr>
          <w:rFonts w:ascii="Times New Roman" w:eastAsia="Calibri" w:hAnsi="Times New Roman"/>
          <w:i/>
          <w:szCs w:val="24"/>
        </w:rPr>
        <w:t>nejeví jako vhodné vymezovat v obecn</w:t>
      </w:r>
      <w:r w:rsidRPr="0042758E">
        <w:rPr>
          <w:rFonts w:ascii="Times New Roman" w:eastAsia="Arial-OneByteIdentityH" w:hAnsi="Times New Roman"/>
          <w:i/>
          <w:szCs w:val="24"/>
        </w:rPr>
        <w:t xml:space="preserve">ě </w:t>
      </w:r>
      <w:r w:rsidRPr="0042758E">
        <w:rPr>
          <w:rFonts w:ascii="Times New Roman" w:eastAsia="Calibri" w:hAnsi="Times New Roman"/>
          <w:i/>
          <w:szCs w:val="24"/>
        </w:rPr>
        <w:t xml:space="preserve">závazné vyhlášce místa s uvedením konkrétních adres (ulice s </w:t>
      </w:r>
      <w:r w:rsidRPr="0042758E">
        <w:rPr>
          <w:rFonts w:ascii="Times New Roman" w:eastAsia="Arial-OneByteIdentityH" w:hAnsi="Times New Roman"/>
          <w:i/>
          <w:szCs w:val="24"/>
        </w:rPr>
        <w:t>č</w:t>
      </w:r>
      <w:r w:rsidRPr="0042758E">
        <w:rPr>
          <w:rFonts w:ascii="Times New Roman" w:eastAsia="Calibri" w:hAnsi="Times New Roman"/>
          <w:i/>
          <w:szCs w:val="24"/>
        </w:rPr>
        <w:t>íslem popisným)</w:t>
      </w:r>
      <w:r w:rsidRPr="0042758E">
        <w:rPr>
          <w:rFonts w:ascii="Times New Roman" w:eastAsia="Arial-OneByteIdentityH" w:hAnsi="Times New Roman"/>
          <w:i/>
          <w:szCs w:val="24"/>
        </w:rPr>
        <w:t xml:space="preserve"> </w:t>
      </w:r>
      <w:r w:rsidRPr="0042758E">
        <w:rPr>
          <w:rFonts w:ascii="Times New Roman" w:eastAsia="Calibri" w:hAnsi="Times New Roman"/>
          <w:i/>
          <w:szCs w:val="24"/>
        </w:rPr>
        <w:t>nebo názvu provozoven, nebo</w:t>
      </w:r>
      <w:r w:rsidRPr="0042758E">
        <w:rPr>
          <w:rFonts w:ascii="Times New Roman" w:eastAsia="Arial-OneByteIdentityH" w:hAnsi="Times New Roman"/>
          <w:i/>
          <w:szCs w:val="24"/>
        </w:rPr>
        <w:t xml:space="preserve">ť </w:t>
      </w:r>
      <w:r w:rsidRPr="0042758E">
        <w:rPr>
          <w:rFonts w:ascii="Times New Roman" w:eastAsia="Calibri" w:hAnsi="Times New Roman"/>
          <w:i/>
          <w:szCs w:val="24"/>
        </w:rPr>
        <w:t>z takového vý</w:t>
      </w:r>
      <w:r w:rsidRPr="0042758E">
        <w:rPr>
          <w:rFonts w:ascii="Times New Roman" w:eastAsia="Arial-OneByteIdentityH" w:hAnsi="Times New Roman"/>
          <w:i/>
          <w:szCs w:val="24"/>
        </w:rPr>
        <w:t>č</w:t>
      </w:r>
      <w:r w:rsidRPr="0042758E">
        <w:rPr>
          <w:rFonts w:ascii="Times New Roman" w:eastAsia="Calibri" w:hAnsi="Times New Roman"/>
          <w:i/>
          <w:szCs w:val="24"/>
        </w:rPr>
        <w:t>tu by nebylo možno ov</w:t>
      </w:r>
      <w:r w:rsidRPr="0042758E">
        <w:rPr>
          <w:rFonts w:ascii="Times New Roman" w:eastAsia="Arial-OneByteIdentityH" w:hAnsi="Times New Roman"/>
          <w:i/>
          <w:szCs w:val="24"/>
        </w:rPr>
        <w:t>ěř</w:t>
      </w:r>
      <w:r w:rsidRPr="0042758E">
        <w:rPr>
          <w:rFonts w:ascii="Times New Roman" w:eastAsia="Calibri" w:hAnsi="Times New Roman"/>
          <w:i/>
          <w:szCs w:val="24"/>
        </w:rPr>
        <w:t>it, zda obec</w:t>
      </w:r>
      <w:r w:rsidRPr="0042758E">
        <w:rPr>
          <w:rFonts w:ascii="Times New Roman" w:eastAsia="Arial-OneByteIdentityH" w:hAnsi="Times New Roman"/>
          <w:i/>
          <w:szCs w:val="24"/>
        </w:rPr>
        <w:t xml:space="preserve"> </w:t>
      </w:r>
      <w:r w:rsidRPr="0042758E">
        <w:rPr>
          <w:rFonts w:ascii="Times New Roman" w:eastAsia="Calibri" w:hAnsi="Times New Roman"/>
          <w:i/>
          <w:szCs w:val="24"/>
        </w:rPr>
        <w:t>p</w:t>
      </w:r>
      <w:r w:rsidRPr="0042758E">
        <w:rPr>
          <w:rFonts w:ascii="Times New Roman" w:eastAsia="Arial-OneByteIdentityH" w:hAnsi="Times New Roman"/>
          <w:i/>
          <w:szCs w:val="24"/>
        </w:rPr>
        <w:t>ř</w:t>
      </w:r>
      <w:r w:rsidRPr="0042758E">
        <w:rPr>
          <w:rFonts w:ascii="Times New Roman" w:eastAsia="Calibri" w:hAnsi="Times New Roman"/>
          <w:i/>
          <w:szCs w:val="24"/>
        </w:rPr>
        <w:t>i ur</w:t>
      </w:r>
      <w:r w:rsidRPr="0042758E">
        <w:rPr>
          <w:rFonts w:ascii="Times New Roman" w:eastAsia="Arial-OneByteIdentityH" w:hAnsi="Times New Roman"/>
          <w:i/>
          <w:szCs w:val="24"/>
        </w:rPr>
        <w:t>č</w:t>
      </w:r>
      <w:r w:rsidRPr="0042758E">
        <w:rPr>
          <w:rFonts w:ascii="Times New Roman" w:eastAsia="Calibri" w:hAnsi="Times New Roman"/>
          <w:i/>
          <w:szCs w:val="24"/>
        </w:rPr>
        <w:t>ení t</w:t>
      </w:r>
      <w:r w:rsidRPr="0042758E">
        <w:rPr>
          <w:rFonts w:ascii="Times New Roman" w:eastAsia="Arial-OneByteIdentityH" w:hAnsi="Times New Roman"/>
          <w:i/>
          <w:szCs w:val="24"/>
        </w:rPr>
        <w:t>ě</w:t>
      </w:r>
      <w:r w:rsidRPr="0042758E">
        <w:rPr>
          <w:rFonts w:ascii="Times New Roman" w:eastAsia="Calibri" w:hAnsi="Times New Roman"/>
          <w:i/>
          <w:szCs w:val="24"/>
        </w:rPr>
        <w:t>chto míst nepostupovala v rozporu se zásadou nediskriminace</w:t>
      </w:r>
      <w:r w:rsidRPr="0042758E">
        <w:rPr>
          <w:rFonts w:ascii="Times New Roman" w:eastAsia="Arial-OneByteIdentityH" w:hAnsi="Times New Roman"/>
          <w:i/>
          <w:szCs w:val="24"/>
        </w:rPr>
        <w:t xml:space="preserve"> </w:t>
      </w:r>
      <w:r w:rsidRPr="0042758E">
        <w:rPr>
          <w:rFonts w:ascii="Times New Roman" w:eastAsia="Calibri" w:hAnsi="Times New Roman"/>
          <w:i/>
          <w:szCs w:val="24"/>
        </w:rPr>
        <w:t>a zákonem o ochran</w:t>
      </w:r>
      <w:r w:rsidRPr="0042758E">
        <w:rPr>
          <w:rFonts w:ascii="Times New Roman" w:eastAsia="Arial-OneByteIdentityH" w:hAnsi="Times New Roman"/>
          <w:i/>
          <w:szCs w:val="24"/>
        </w:rPr>
        <w:t xml:space="preserve">ě </w:t>
      </w:r>
      <w:r w:rsidRPr="0042758E">
        <w:rPr>
          <w:rFonts w:ascii="Times New Roman" w:eastAsia="Calibri" w:hAnsi="Times New Roman"/>
          <w:i/>
          <w:szCs w:val="24"/>
        </w:rPr>
        <w:t>hospodá</w:t>
      </w:r>
      <w:r w:rsidRPr="0042758E">
        <w:rPr>
          <w:rFonts w:ascii="Times New Roman" w:eastAsia="Arial-OneByteIdentityH" w:hAnsi="Times New Roman"/>
          <w:i/>
          <w:szCs w:val="24"/>
        </w:rPr>
        <w:t>ř</w:t>
      </w:r>
      <w:r w:rsidRPr="0042758E">
        <w:rPr>
          <w:rFonts w:ascii="Times New Roman" w:eastAsia="Calibri" w:hAnsi="Times New Roman"/>
          <w:i/>
          <w:szCs w:val="24"/>
        </w:rPr>
        <w:t>ské sout</w:t>
      </w:r>
      <w:r w:rsidRPr="0042758E">
        <w:rPr>
          <w:rFonts w:ascii="Times New Roman" w:eastAsia="Arial-OneByteIdentityH" w:hAnsi="Times New Roman"/>
          <w:i/>
          <w:szCs w:val="24"/>
        </w:rPr>
        <w:t>ě</w:t>
      </w:r>
      <w:r w:rsidRPr="0042758E">
        <w:rPr>
          <w:rFonts w:ascii="Times New Roman" w:eastAsia="Calibri" w:hAnsi="Times New Roman"/>
          <w:i/>
          <w:szCs w:val="24"/>
        </w:rPr>
        <w:t>že. Pokud i p</w:t>
      </w:r>
      <w:r w:rsidRPr="0042758E">
        <w:rPr>
          <w:rFonts w:ascii="Times New Roman" w:eastAsia="Arial-OneByteIdentityH" w:hAnsi="Times New Roman"/>
          <w:i/>
          <w:szCs w:val="24"/>
        </w:rPr>
        <w:t>ř</w:t>
      </w:r>
      <w:r w:rsidRPr="0042758E">
        <w:rPr>
          <w:rFonts w:ascii="Times New Roman" w:eastAsia="Calibri" w:hAnsi="Times New Roman"/>
          <w:i/>
          <w:szCs w:val="24"/>
        </w:rPr>
        <w:t>esto obec zvolí tuto variantu</w:t>
      </w:r>
      <w:r w:rsidRPr="0042758E">
        <w:rPr>
          <w:rFonts w:ascii="Times New Roman" w:eastAsia="Arial-OneByteIdentityH" w:hAnsi="Times New Roman"/>
          <w:i/>
          <w:szCs w:val="24"/>
        </w:rPr>
        <w:t xml:space="preserve"> </w:t>
      </w:r>
      <w:r w:rsidRPr="0042758E">
        <w:rPr>
          <w:rFonts w:ascii="Times New Roman" w:eastAsia="Calibri" w:hAnsi="Times New Roman"/>
          <w:i/>
          <w:szCs w:val="24"/>
        </w:rPr>
        <w:t>regulace, je nutno upozornit, že by obec m</w:t>
      </w:r>
      <w:r w:rsidRPr="0042758E">
        <w:rPr>
          <w:rFonts w:ascii="Times New Roman" w:eastAsia="Arial-OneByteIdentityH" w:hAnsi="Times New Roman"/>
          <w:i/>
          <w:szCs w:val="24"/>
        </w:rPr>
        <w:t>ě</w:t>
      </w:r>
      <w:r w:rsidRPr="0042758E">
        <w:rPr>
          <w:rFonts w:ascii="Times New Roman" w:eastAsia="Calibri" w:hAnsi="Times New Roman"/>
          <w:i/>
          <w:szCs w:val="24"/>
        </w:rPr>
        <w:t>la p</w:t>
      </w:r>
      <w:r w:rsidRPr="0042758E">
        <w:rPr>
          <w:rFonts w:ascii="Times New Roman" w:eastAsia="Arial-OneByteIdentityH" w:hAnsi="Times New Roman"/>
          <w:i/>
          <w:szCs w:val="24"/>
        </w:rPr>
        <w:t>ř</w:t>
      </w:r>
      <w:r w:rsidRPr="0042758E">
        <w:rPr>
          <w:rFonts w:ascii="Times New Roman" w:eastAsia="Calibri" w:hAnsi="Times New Roman"/>
          <w:i/>
          <w:szCs w:val="24"/>
        </w:rPr>
        <w:t>ed vydáním obecn</w:t>
      </w:r>
      <w:r w:rsidRPr="0042758E">
        <w:rPr>
          <w:rFonts w:ascii="Times New Roman" w:eastAsia="Arial-OneByteIdentityH" w:hAnsi="Times New Roman"/>
          <w:i/>
          <w:szCs w:val="24"/>
        </w:rPr>
        <w:t xml:space="preserve">ě </w:t>
      </w:r>
      <w:r w:rsidRPr="0042758E">
        <w:rPr>
          <w:rFonts w:ascii="Times New Roman" w:eastAsia="Calibri" w:hAnsi="Times New Roman"/>
          <w:i/>
          <w:szCs w:val="24"/>
        </w:rPr>
        <w:t>závazné</w:t>
      </w:r>
      <w:r w:rsidRPr="0042758E">
        <w:rPr>
          <w:rFonts w:ascii="Times New Roman" w:eastAsia="Arial-OneByteIdentityH" w:hAnsi="Times New Roman"/>
          <w:i/>
          <w:szCs w:val="24"/>
        </w:rPr>
        <w:t xml:space="preserve"> </w:t>
      </w:r>
      <w:r w:rsidRPr="0042758E">
        <w:rPr>
          <w:rFonts w:ascii="Times New Roman" w:eastAsia="Calibri" w:hAnsi="Times New Roman"/>
          <w:i/>
          <w:szCs w:val="24"/>
        </w:rPr>
        <w:t>vyhlášky prov</w:t>
      </w:r>
      <w:r w:rsidRPr="0042758E">
        <w:rPr>
          <w:rFonts w:ascii="Times New Roman" w:eastAsia="Arial-OneByteIdentityH" w:hAnsi="Times New Roman"/>
          <w:i/>
          <w:szCs w:val="24"/>
        </w:rPr>
        <w:t>ěř</w:t>
      </w:r>
      <w:r w:rsidRPr="0042758E">
        <w:rPr>
          <w:rFonts w:ascii="Times New Roman" w:eastAsia="Calibri" w:hAnsi="Times New Roman"/>
          <w:i/>
          <w:szCs w:val="24"/>
        </w:rPr>
        <w:t>it, zda daná provozovna (budova) není chrán</w:t>
      </w:r>
      <w:r w:rsidRPr="0042758E">
        <w:rPr>
          <w:rFonts w:ascii="Times New Roman" w:eastAsia="Arial-OneByteIdentityH" w:hAnsi="Times New Roman"/>
          <w:i/>
          <w:szCs w:val="24"/>
        </w:rPr>
        <w:t>ě</w:t>
      </w:r>
      <w:r w:rsidRPr="0042758E">
        <w:rPr>
          <w:rFonts w:ascii="Times New Roman" w:eastAsia="Calibri" w:hAnsi="Times New Roman"/>
          <w:i/>
          <w:szCs w:val="24"/>
        </w:rPr>
        <w:t>nou budovou, v níž je</w:t>
      </w:r>
      <w:r w:rsidRPr="0042758E">
        <w:rPr>
          <w:rFonts w:ascii="Times New Roman" w:eastAsia="Arial-OneByteIdentityH" w:hAnsi="Times New Roman"/>
          <w:i/>
          <w:szCs w:val="24"/>
        </w:rPr>
        <w:t xml:space="preserve"> </w:t>
      </w:r>
      <w:r w:rsidRPr="0042758E">
        <w:rPr>
          <w:rFonts w:ascii="Times New Roman" w:eastAsia="Calibri" w:hAnsi="Times New Roman"/>
          <w:i/>
          <w:szCs w:val="24"/>
        </w:rPr>
        <w:t>provoz hazardních her zakázán, a to s ohledem na ustanovení § 13 zákona</w:t>
      </w:r>
      <w:r w:rsidRPr="0042758E">
        <w:rPr>
          <w:rFonts w:ascii="Times New Roman" w:eastAsia="Arial-OneByteIdentityH" w:hAnsi="Times New Roman"/>
          <w:i/>
          <w:szCs w:val="24"/>
        </w:rPr>
        <w:t xml:space="preserve"> </w:t>
      </w:r>
      <w:r w:rsidRPr="0042758E">
        <w:rPr>
          <w:rFonts w:ascii="Times New Roman" w:eastAsia="Calibri" w:hAnsi="Times New Roman"/>
          <w:i/>
          <w:szCs w:val="24"/>
        </w:rPr>
        <w:t>o hazardních hrách</w:t>
      </w:r>
      <w:r w:rsidRPr="0042758E">
        <w:rPr>
          <w:rFonts w:ascii="Times New Roman" w:eastAsia="Calibri" w:hAnsi="Times New Roman"/>
          <w:szCs w:val="24"/>
        </w:rPr>
        <w:t>.“</w:t>
      </w:r>
    </w:p>
    <w:p w:rsidR="00A92C85" w:rsidRPr="00FA11C7" w:rsidRDefault="00A92C85" w:rsidP="00A92C85">
      <w:pPr>
        <w:rPr>
          <w:rFonts w:ascii="Times New Roman" w:hAnsi="Times New Roman"/>
          <w:bCs/>
          <w:iCs/>
          <w:sz w:val="36"/>
          <w:szCs w:val="36"/>
        </w:rPr>
      </w:pPr>
    </w:p>
    <w:p w:rsidR="00A92C85" w:rsidRPr="00015A4E" w:rsidRDefault="00A92C85" w:rsidP="00A92C85">
      <w:pPr>
        <w:jc w:val="both"/>
        <w:rPr>
          <w:rFonts w:ascii="Times New Roman" w:hAnsi="Times New Roman"/>
          <w:bCs/>
          <w:i/>
          <w:iCs/>
          <w:szCs w:val="24"/>
        </w:rPr>
      </w:pPr>
      <w:r>
        <w:rPr>
          <w:rFonts w:ascii="Times New Roman" w:hAnsi="Times New Roman"/>
          <w:bCs/>
          <w:iCs/>
          <w:szCs w:val="24"/>
        </w:rPr>
        <w:t xml:space="preserve">Otázkou regulace míst loterií a jiných podobných her se již v minulosti opakovaně zabýval i Ústavní soud. Ústavní soud regulaci výčtem adresních míst v minulosti nevyloučil a např. v nálezu </w:t>
      </w:r>
      <w:proofErr w:type="spellStart"/>
      <w:r>
        <w:rPr>
          <w:rFonts w:ascii="Times New Roman" w:hAnsi="Times New Roman"/>
          <w:bCs/>
          <w:iCs/>
          <w:szCs w:val="24"/>
        </w:rPr>
        <w:t>Pl</w:t>
      </w:r>
      <w:proofErr w:type="spellEnd"/>
      <w:r>
        <w:rPr>
          <w:rFonts w:ascii="Times New Roman" w:hAnsi="Times New Roman"/>
          <w:bCs/>
          <w:iCs/>
          <w:szCs w:val="24"/>
        </w:rPr>
        <w:t>. ÚS 56/10 ze dne 7. 9. 2011 konstatuje, že u obecně závazných vyhlášek „</w:t>
      </w:r>
      <w:r w:rsidRPr="00015A4E">
        <w:rPr>
          <w:rFonts w:ascii="Times New Roman" w:hAnsi="Times New Roman"/>
          <w:i/>
          <w:szCs w:val="24"/>
        </w:rPr>
        <w:t>zejména označují-li na základě výslovné zákonné autorizace [§ 10 písm. a) obecního zřízení či § 50 odst. 4 loterijního zákona] konkrétní místa (ať už označením čtvrti, ulic a jejich částí či návsi nebo konce v malé vesnici), je nutno požadavek obecnosti regulace interpretovat tak, že se vymezení míst musí opírat o racionální důvody, neutrální a nediskriminační ve vztahu ke konkrétním osobám, na něž regulace při aplikaci dopadá. Nevyplývá-li důvod vymezení konkrétních míst z okolností nebo povahy věci, tíží nakonec obec, jež obecně závaznou vyhlášku vydala, povinnost v řízení před soudem takové racionální a neutrální důvody předestřít a obhájit</w:t>
      </w: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Pr="0044391A" w:rsidRDefault="00A92C85" w:rsidP="00A92C85">
      <w:pPr>
        <w:jc w:val="both"/>
        <w:rPr>
          <w:rFonts w:ascii="Times New Roman" w:hAnsi="Times New Roman"/>
          <w:bCs/>
          <w:iCs/>
          <w:szCs w:val="24"/>
        </w:rPr>
      </w:pPr>
      <w:r w:rsidRPr="0044391A">
        <w:rPr>
          <w:rFonts w:ascii="Times New Roman" w:hAnsi="Times New Roman"/>
          <w:bCs/>
          <w:iCs/>
          <w:szCs w:val="24"/>
        </w:rPr>
        <w:t xml:space="preserve">Výše uvedená rozhodnutí, stanoviska, právní výklady, pro statutární město Prostějov nezávazná, způsob regulace hazardních her </w:t>
      </w:r>
      <w:r w:rsidRPr="0044391A">
        <w:rPr>
          <w:rFonts w:ascii="Times New Roman" w:hAnsi="Times New Roman"/>
          <w:szCs w:val="24"/>
        </w:rPr>
        <w:t>založen</w:t>
      </w:r>
      <w:r>
        <w:rPr>
          <w:rFonts w:ascii="Times New Roman" w:hAnsi="Times New Roman"/>
          <w:szCs w:val="24"/>
        </w:rPr>
        <w:t>ý</w:t>
      </w:r>
      <w:r w:rsidRPr="0044391A">
        <w:rPr>
          <w:rFonts w:ascii="Times New Roman" w:hAnsi="Times New Roman"/>
          <w:szCs w:val="24"/>
        </w:rPr>
        <w:t xml:space="preserve"> na pozitivním výčtu adresních veřejně přístupných míst na území statutárního města Prostějova</w:t>
      </w:r>
      <w:r>
        <w:rPr>
          <w:rFonts w:ascii="Times New Roman" w:hAnsi="Times New Roman"/>
          <w:szCs w:val="24"/>
        </w:rPr>
        <w:t xml:space="preserve"> nevylučují. Pouze požadují, aby obecně závazná vyhláška stanovila cíl, kterého chce regulací hazardních her dosáhnout, a aby tohoto cíle bylo dosaženo způsobem nediskriminačním, neutrálním, opírajícím se o racionální důvody. Velký důraz je kladem na zdůvodnění cíle zvoleného způsobu jeho dosažení. </w:t>
      </w: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976514" w:rsidRDefault="00976514" w:rsidP="00A92C85">
      <w:pPr>
        <w:jc w:val="both"/>
        <w:rPr>
          <w:rFonts w:ascii="Times New Roman" w:hAnsi="Times New Roman"/>
          <w:bCs/>
          <w:iCs/>
          <w:szCs w:val="24"/>
        </w:rPr>
      </w:pPr>
    </w:p>
    <w:p w:rsidR="00976514" w:rsidRDefault="00976514" w:rsidP="00A92C85">
      <w:pPr>
        <w:jc w:val="both"/>
        <w:rPr>
          <w:rFonts w:ascii="Times New Roman" w:hAnsi="Times New Roman"/>
          <w:bCs/>
          <w:iCs/>
          <w:szCs w:val="24"/>
        </w:rPr>
      </w:pPr>
    </w:p>
    <w:p w:rsidR="00A92C85" w:rsidRDefault="00A92C85" w:rsidP="00A92C85">
      <w:pPr>
        <w:pStyle w:val="NormlnIMP"/>
        <w:spacing w:after="60" w:line="240" w:lineRule="auto"/>
        <w:rPr>
          <w:szCs w:val="24"/>
        </w:rPr>
      </w:pPr>
    </w:p>
    <w:p w:rsidR="00A92C85" w:rsidRDefault="00A92C85" w:rsidP="00A92C85">
      <w:pPr>
        <w:pStyle w:val="NormlnIMP"/>
        <w:numPr>
          <w:ilvl w:val="0"/>
          <w:numId w:val="38"/>
        </w:numPr>
        <w:spacing w:after="60" w:line="240" w:lineRule="auto"/>
        <w:ind w:left="360"/>
        <w:rPr>
          <w:b/>
          <w:sz w:val="28"/>
          <w:szCs w:val="28"/>
        </w:rPr>
      </w:pPr>
      <w:r w:rsidRPr="00D430B9">
        <w:rPr>
          <w:b/>
          <w:sz w:val="28"/>
          <w:szCs w:val="28"/>
        </w:rPr>
        <w:t xml:space="preserve">Návrh úpravy regulace hazardních na území statutárního města Prostějova </w:t>
      </w:r>
    </w:p>
    <w:p w:rsidR="00A92C85" w:rsidRDefault="00A92C85" w:rsidP="00A92C85">
      <w:pPr>
        <w:pStyle w:val="NormlnIMP"/>
        <w:spacing w:after="60" w:line="240" w:lineRule="auto"/>
        <w:rPr>
          <w:b/>
          <w:sz w:val="28"/>
          <w:szCs w:val="28"/>
        </w:rPr>
      </w:pPr>
    </w:p>
    <w:p w:rsidR="00A92C85" w:rsidRPr="00376210" w:rsidRDefault="00A92C85" w:rsidP="00A92C85">
      <w:pPr>
        <w:pStyle w:val="NormlnIMP"/>
        <w:spacing w:after="60" w:line="240" w:lineRule="auto"/>
        <w:rPr>
          <w:b/>
          <w:szCs w:val="24"/>
        </w:rPr>
      </w:pPr>
      <w:r w:rsidRPr="00376210">
        <w:rPr>
          <w:b/>
          <w:szCs w:val="24"/>
        </w:rPr>
        <w:t>Důvody regulace hazardních her</w:t>
      </w:r>
    </w:p>
    <w:p w:rsidR="00A92C85" w:rsidRPr="00650C4B" w:rsidRDefault="00A92C85" w:rsidP="00A92C85">
      <w:pPr>
        <w:jc w:val="both"/>
        <w:rPr>
          <w:rFonts w:ascii="Times New Roman" w:hAnsi="Times New Roman"/>
          <w:szCs w:val="24"/>
        </w:rPr>
      </w:pPr>
      <w:r w:rsidRPr="00650C4B">
        <w:rPr>
          <w:rFonts w:ascii="Times New Roman" w:hAnsi="Times New Roman"/>
          <w:bCs/>
          <w:iCs/>
          <w:szCs w:val="24"/>
        </w:rPr>
        <w:t xml:space="preserve">V souladu s novou právní úpravou regulace provozu hazardních her lze konstatovat, že </w:t>
      </w:r>
      <w:r w:rsidRPr="00650C4B">
        <w:rPr>
          <w:rFonts w:ascii="Times New Roman" w:hAnsi="Times New Roman"/>
          <w:szCs w:val="24"/>
        </w:rPr>
        <w:t>negativní důsledky spojené s hazardními hrami jsou z větší části omezeny již zákonnou úpravou. S ohledem na reálné riziko vzniku nelegálních provozoven hazardních her</w:t>
      </w:r>
      <w:r>
        <w:rPr>
          <w:rFonts w:ascii="Times New Roman" w:hAnsi="Times New Roman"/>
          <w:szCs w:val="24"/>
        </w:rPr>
        <w:t>,</w:t>
      </w:r>
      <w:r w:rsidRPr="00650C4B">
        <w:rPr>
          <w:rFonts w:ascii="Times New Roman" w:hAnsi="Times New Roman"/>
          <w:szCs w:val="24"/>
        </w:rPr>
        <w:t xml:space="preserve"> se nejeví</w:t>
      </w:r>
      <w:r>
        <w:rPr>
          <w:rFonts w:ascii="Times New Roman" w:hAnsi="Times New Roman"/>
          <w:szCs w:val="24"/>
        </w:rPr>
        <w:t xml:space="preserve"> jako </w:t>
      </w:r>
      <w:r w:rsidRPr="00650C4B">
        <w:rPr>
          <w:rFonts w:ascii="Times New Roman" w:hAnsi="Times New Roman"/>
          <w:szCs w:val="24"/>
        </w:rPr>
        <w:t xml:space="preserve">vhodné zakázat provozování her na celém území statutárního města Prostějova. </w:t>
      </w:r>
    </w:p>
    <w:p w:rsidR="00A92C85" w:rsidRDefault="00A92C85" w:rsidP="00A92C85">
      <w:pPr>
        <w:jc w:val="both"/>
        <w:rPr>
          <w:rFonts w:ascii="Times New Roman" w:hAnsi="Times New Roman"/>
          <w:szCs w:val="24"/>
        </w:rPr>
      </w:pPr>
    </w:p>
    <w:p w:rsidR="00A92C85" w:rsidRDefault="00A92C85" w:rsidP="00A92C85">
      <w:pPr>
        <w:jc w:val="both"/>
        <w:rPr>
          <w:rFonts w:ascii="Times New Roman" w:hAnsi="Times New Roman"/>
          <w:szCs w:val="24"/>
        </w:rPr>
      </w:pPr>
      <w:r>
        <w:rPr>
          <w:rFonts w:ascii="Times New Roman" w:hAnsi="Times New Roman"/>
          <w:szCs w:val="24"/>
        </w:rPr>
        <w:t>Místní regulace provozování hazardních her ze strany statutárního města Prostějova je na místě i po nabytí účinnosti nového zákona o hazardu, a to z několika důvodů:</w:t>
      </w:r>
    </w:p>
    <w:p w:rsidR="00A92C85" w:rsidRDefault="00A92C85" w:rsidP="00A92C85">
      <w:pPr>
        <w:jc w:val="both"/>
        <w:rPr>
          <w:rFonts w:ascii="Times New Roman" w:hAnsi="Times New Roman"/>
          <w:szCs w:val="24"/>
        </w:rPr>
      </w:pPr>
    </w:p>
    <w:p w:rsidR="00A92C85" w:rsidRPr="00423C6C" w:rsidRDefault="00A92C85" w:rsidP="00A92C85">
      <w:pPr>
        <w:numPr>
          <w:ilvl w:val="0"/>
          <w:numId w:val="40"/>
        </w:numPr>
        <w:jc w:val="both"/>
        <w:rPr>
          <w:rFonts w:ascii="Times New Roman" w:hAnsi="Times New Roman"/>
          <w:szCs w:val="24"/>
        </w:rPr>
      </w:pPr>
      <w:r w:rsidRPr="00423C6C">
        <w:rPr>
          <w:rFonts w:ascii="Times New Roman" w:hAnsi="Times New Roman"/>
          <w:szCs w:val="24"/>
        </w:rPr>
        <w:t>jednotlivá opatření k regulaci hazardních her předpokládaná zákonem o hazardu dosud nejsou zavedena či nejsou zcela funkční</w:t>
      </w:r>
      <w:r>
        <w:rPr>
          <w:rFonts w:ascii="Times New Roman" w:hAnsi="Times New Roman"/>
          <w:szCs w:val="24"/>
        </w:rPr>
        <w:t>, resp. jsou vázána na vydání základního povolení a povolení k umístění herního prostoru dle zákona o hazardu a nevztahují se tak na stávající povolení vydaná dle zákona o loteriích</w:t>
      </w:r>
      <w:r w:rsidRPr="00423C6C">
        <w:rPr>
          <w:rFonts w:ascii="Times New Roman" w:hAnsi="Times New Roman"/>
          <w:szCs w:val="24"/>
        </w:rPr>
        <w:t xml:space="preserve">, </w:t>
      </w:r>
    </w:p>
    <w:p w:rsidR="00A92C85" w:rsidRPr="00423C6C" w:rsidRDefault="00A92C85" w:rsidP="00A92C85">
      <w:pPr>
        <w:numPr>
          <w:ilvl w:val="0"/>
          <w:numId w:val="40"/>
        </w:numPr>
        <w:jc w:val="both"/>
        <w:rPr>
          <w:rFonts w:ascii="Times New Roman" w:hAnsi="Times New Roman"/>
          <w:szCs w:val="24"/>
        </w:rPr>
      </w:pPr>
      <w:r w:rsidRPr="00423C6C">
        <w:rPr>
          <w:rFonts w:ascii="Times New Roman" w:hAnsi="Times New Roman"/>
          <w:szCs w:val="24"/>
        </w:rPr>
        <w:t xml:space="preserve">provozovny </w:t>
      </w:r>
      <w:r w:rsidRPr="00423C6C">
        <w:rPr>
          <w:rFonts w:ascii="Times New Roman" w:hAnsi="Times New Roman"/>
          <w:iCs/>
          <w:szCs w:val="24"/>
        </w:rPr>
        <w:t xml:space="preserve">hazardních her by se neměly nacházet v bezprostřední blízkosti </w:t>
      </w:r>
      <w:r w:rsidRPr="00423C6C">
        <w:rPr>
          <w:rFonts w:ascii="Times New Roman" w:hAnsi="Times New Roman"/>
          <w:szCs w:val="24"/>
        </w:rPr>
        <w:t xml:space="preserve">v blízkosti školy, školského zařízení či veřejné budovy, </w:t>
      </w:r>
    </w:p>
    <w:p w:rsidR="00A92C85" w:rsidRPr="00423C6C" w:rsidRDefault="00A92C85" w:rsidP="00A92C85">
      <w:pPr>
        <w:numPr>
          <w:ilvl w:val="0"/>
          <w:numId w:val="40"/>
        </w:numPr>
        <w:jc w:val="both"/>
        <w:rPr>
          <w:rFonts w:ascii="Times New Roman" w:hAnsi="Times New Roman"/>
          <w:szCs w:val="24"/>
        </w:rPr>
      </w:pPr>
      <w:r w:rsidRPr="00423C6C">
        <w:rPr>
          <w:rFonts w:ascii="Times New Roman" w:hAnsi="Times New Roman"/>
          <w:szCs w:val="24"/>
        </w:rPr>
        <w:t>je třeba zabránit nekontrolovanému přesunu provozoven hazardních her z okolních obcí, ve kterých bylo jejich provozování zcela zakázáno,</w:t>
      </w:r>
    </w:p>
    <w:p w:rsidR="00A92C85" w:rsidRPr="00423C6C" w:rsidRDefault="00A92C85" w:rsidP="00A92C85">
      <w:pPr>
        <w:pStyle w:val="Default"/>
        <w:numPr>
          <w:ilvl w:val="0"/>
          <w:numId w:val="40"/>
        </w:numPr>
        <w:jc w:val="both"/>
      </w:pPr>
      <w:r w:rsidRPr="00423C6C">
        <w:rPr>
          <w:iCs/>
        </w:rPr>
        <w:t>provozovny hazardních her by neměly být všechny umístěny v jedné části města, aby se případné negativní dopady spojené s provozováním těchto provozem nekumulovaly v jednom místě,</w:t>
      </w:r>
    </w:p>
    <w:p w:rsidR="00A92C85" w:rsidRPr="00423C6C" w:rsidRDefault="00A92C85" w:rsidP="00A92C85">
      <w:pPr>
        <w:numPr>
          <w:ilvl w:val="0"/>
          <w:numId w:val="40"/>
        </w:numPr>
        <w:jc w:val="both"/>
        <w:rPr>
          <w:rFonts w:ascii="Times New Roman" w:hAnsi="Times New Roman"/>
          <w:szCs w:val="24"/>
        </w:rPr>
      </w:pPr>
      <w:r w:rsidRPr="00423C6C">
        <w:rPr>
          <w:rFonts w:ascii="Times New Roman" w:hAnsi="Times New Roman"/>
          <w:iCs/>
          <w:szCs w:val="24"/>
        </w:rPr>
        <w:t xml:space="preserve">provozovny hazardních her by se neměly nacházet v částech města s vysokou mírou kriminality, sociálně vyloučených oblastech a v oblastech, v nichž byly v minulosti časté stížnosti na problémy způsobené provozováním hazardních her, </w:t>
      </w:r>
    </w:p>
    <w:p w:rsidR="00A92C85" w:rsidRPr="00423C6C" w:rsidRDefault="00A92C85" w:rsidP="00A92C85">
      <w:pPr>
        <w:pStyle w:val="Default"/>
        <w:numPr>
          <w:ilvl w:val="0"/>
          <w:numId w:val="40"/>
        </w:numPr>
        <w:jc w:val="both"/>
      </w:pPr>
      <w:r w:rsidRPr="00423C6C">
        <w:rPr>
          <w:iCs/>
        </w:rPr>
        <w:t xml:space="preserve">provozovny hazardních her by se neměly nacházet ani v těch částech města, v nichž to bude v rozporu s jejich charakterem, např. nám. T.G. Masaryka či v klidných rezidenčních lokalitách. </w:t>
      </w:r>
    </w:p>
    <w:p w:rsidR="00A92C85" w:rsidRDefault="00A92C85" w:rsidP="00A92C85">
      <w:pPr>
        <w:jc w:val="both"/>
        <w:rPr>
          <w:rFonts w:ascii="Times New Roman" w:hAnsi="Times New Roman"/>
          <w:szCs w:val="24"/>
        </w:rPr>
      </w:pPr>
    </w:p>
    <w:p w:rsidR="00A92C85" w:rsidRDefault="00A92C85" w:rsidP="00A92C85">
      <w:pPr>
        <w:jc w:val="both"/>
        <w:rPr>
          <w:rFonts w:ascii="Times New Roman" w:hAnsi="Times New Roman"/>
          <w:szCs w:val="24"/>
        </w:rPr>
      </w:pPr>
    </w:p>
    <w:p w:rsidR="00A92C85" w:rsidRPr="00650C4B" w:rsidRDefault="00A92C85" w:rsidP="00A92C85">
      <w:pPr>
        <w:jc w:val="both"/>
        <w:rPr>
          <w:rFonts w:ascii="Times New Roman" w:hAnsi="Times New Roman"/>
          <w:bCs/>
          <w:iCs/>
          <w:szCs w:val="24"/>
        </w:rPr>
      </w:pPr>
      <w:r w:rsidRPr="00650C4B">
        <w:rPr>
          <w:rFonts w:ascii="Times New Roman" w:hAnsi="Times New Roman"/>
          <w:bCs/>
          <w:iCs/>
          <w:szCs w:val="24"/>
        </w:rPr>
        <w:t>Přehled příjmů z výherních hracích přístrojů (dále jen „VHP“), jiných technických herních zařízení (dále jen „JHTZ“) a ostatních loterií:</w:t>
      </w: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r>
        <w:rPr>
          <w:rFonts w:ascii="Times New Roman" w:hAnsi="Times New Roman"/>
          <w:bCs/>
          <w:iCs/>
          <w:szCs w:val="24"/>
        </w:rPr>
        <w:t>Příjmy z VHP,  JHTZ a ostatních loterií po dobu účinnosti OZV č. 2/2012</w:t>
      </w:r>
    </w:p>
    <w:p w:rsidR="00A92C85" w:rsidRDefault="00A92C85" w:rsidP="00A92C85">
      <w:pPr>
        <w:jc w:val="both"/>
        <w:rPr>
          <w:rFonts w:ascii="Times New Roman" w:hAnsi="Times New Roman"/>
          <w:bCs/>
          <w:iCs/>
          <w:szCs w:val="24"/>
        </w:rPr>
      </w:pPr>
    </w:p>
    <w:tbl>
      <w:tblPr>
        <w:tblW w:w="9020" w:type="dxa"/>
        <w:tblInd w:w="55" w:type="dxa"/>
        <w:tblCellMar>
          <w:left w:w="70" w:type="dxa"/>
          <w:right w:w="70" w:type="dxa"/>
        </w:tblCellMar>
        <w:tblLook w:val="04A0" w:firstRow="1" w:lastRow="0" w:firstColumn="1" w:lastColumn="0" w:noHBand="0" w:noVBand="1"/>
      </w:tblPr>
      <w:tblGrid>
        <w:gridCol w:w="3660"/>
        <w:gridCol w:w="1340"/>
        <w:gridCol w:w="1300"/>
        <w:gridCol w:w="1300"/>
        <w:gridCol w:w="1420"/>
      </w:tblGrid>
      <w:tr w:rsidR="00A92C85" w:rsidRPr="006F2A4D" w:rsidTr="00E02C75">
        <w:trPr>
          <w:trHeight w:val="600"/>
        </w:trPr>
        <w:tc>
          <w:tcPr>
            <w:tcW w:w="3660" w:type="dxa"/>
            <w:tcBorders>
              <w:top w:val="single" w:sz="8" w:space="0" w:color="auto"/>
              <w:left w:val="single" w:sz="8" w:space="0" w:color="auto"/>
              <w:bottom w:val="nil"/>
              <w:right w:val="single" w:sz="8" w:space="0" w:color="auto"/>
            </w:tcBorders>
            <w:shd w:val="clear" w:color="000000" w:fill="FCD5B4"/>
            <w:vAlign w:val="bottom"/>
            <w:hideMark/>
          </w:tcPr>
          <w:p w:rsidR="00A92C85" w:rsidRPr="006F2A4D" w:rsidRDefault="00A92C85" w:rsidP="00E02C75">
            <w:pPr>
              <w:rPr>
                <w:rFonts w:ascii="Calibri" w:hAnsi="Calibri"/>
                <w:color w:val="000000"/>
                <w:sz w:val="22"/>
                <w:szCs w:val="22"/>
              </w:rPr>
            </w:pPr>
            <w:r w:rsidRPr="006F2A4D">
              <w:rPr>
                <w:rFonts w:ascii="Calibri" w:hAnsi="Calibri"/>
                <w:color w:val="000000"/>
                <w:sz w:val="22"/>
                <w:szCs w:val="22"/>
              </w:rPr>
              <w:t>příjem z VHP, JTHZ a ostatních loterií         (v Kč)</w:t>
            </w:r>
          </w:p>
        </w:tc>
        <w:tc>
          <w:tcPr>
            <w:tcW w:w="1340" w:type="dxa"/>
            <w:tcBorders>
              <w:top w:val="single" w:sz="8" w:space="0" w:color="auto"/>
              <w:left w:val="nil"/>
              <w:bottom w:val="single" w:sz="4" w:space="0" w:color="auto"/>
              <w:right w:val="single" w:sz="4" w:space="0" w:color="auto"/>
            </w:tcBorders>
            <w:shd w:val="clear" w:color="000000" w:fill="FDE9D9"/>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2013</w:t>
            </w:r>
          </w:p>
        </w:tc>
        <w:tc>
          <w:tcPr>
            <w:tcW w:w="1300" w:type="dxa"/>
            <w:tcBorders>
              <w:top w:val="single" w:sz="8" w:space="0" w:color="auto"/>
              <w:left w:val="nil"/>
              <w:bottom w:val="single" w:sz="4" w:space="0" w:color="auto"/>
              <w:right w:val="single" w:sz="4" w:space="0" w:color="auto"/>
            </w:tcBorders>
            <w:shd w:val="clear" w:color="000000" w:fill="FDE9D9"/>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2014</w:t>
            </w:r>
          </w:p>
        </w:tc>
        <w:tc>
          <w:tcPr>
            <w:tcW w:w="1300" w:type="dxa"/>
            <w:tcBorders>
              <w:top w:val="single" w:sz="8" w:space="0" w:color="auto"/>
              <w:left w:val="nil"/>
              <w:bottom w:val="single" w:sz="4" w:space="0" w:color="auto"/>
              <w:right w:val="single" w:sz="4" w:space="0" w:color="auto"/>
            </w:tcBorders>
            <w:shd w:val="clear" w:color="000000" w:fill="FDE9D9"/>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2015</w:t>
            </w:r>
          </w:p>
        </w:tc>
        <w:tc>
          <w:tcPr>
            <w:tcW w:w="1420" w:type="dxa"/>
            <w:tcBorders>
              <w:top w:val="single" w:sz="8" w:space="0" w:color="auto"/>
              <w:left w:val="nil"/>
              <w:bottom w:val="single" w:sz="4" w:space="0" w:color="auto"/>
              <w:right w:val="single" w:sz="8" w:space="0" w:color="auto"/>
            </w:tcBorders>
            <w:shd w:val="clear" w:color="000000" w:fill="FDE9D9"/>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2016</w:t>
            </w:r>
          </w:p>
        </w:tc>
      </w:tr>
      <w:tr w:rsidR="00A92C85" w:rsidRPr="006F2A4D" w:rsidTr="00E02C75">
        <w:trPr>
          <w:trHeight w:val="315"/>
        </w:trPr>
        <w:tc>
          <w:tcPr>
            <w:tcW w:w="3660" w:type="dxa"/>
            <w:tcBorders>
              <w:top w:val="nil"/>
              <w:left w:val="single" w:sz="8" w:space="0" w:color="auto"/>
              <w:bottom w:val="single" w:sz="8" w:space="0" w:color="auto"/>
              <w:right w:val="single" w:sz="8" w:space="0" w:color="auto"/>
            </w:tcBorders>
            <w:shd w:val="clear" w:color="000000" w:fill="FCD5B4"/>
            <w:noWrap/>
            <w:vAlign w:val="bottom"/>
            <w:hideMark/>
          </w:tcPr>
          <w:p w:rsidR="00A92C85" w:rsidRPr="006F2A4D" w:rsidRDefault="00A92C85" w:rsidP="00E02C75">
            <w:pPr>
              <w:rPr>
                <w:rFonts w:ascii="Calibri" w:hAnsi="Calibri"/>
                <w:color w:val="000000"/>
                <w:sz w:val="22"/>
                <w:szCs w:val="22"/>
              </w:rPr>
            </w:pPr>
            <w:r w:rsidRPr="006F2A4D">
              <w:rPr>
                <w:rFonts w:ascii="Calibri" w:hAnsi="Calibri"/>
                <w:color w:val="000000"/>
                <w:sz w:val="22"/>
                <w:szCs w:val="22"/>
              </w:rPr>
              <w:t> </w:t>
            </w:r>
          </w:p>
        </w:tc>
        <w:tc>
          <w:tcPr>
            <w:tcW w:w="1340" w:type="dxa"/>
            <w:tcBorders>
              <w:top w:val="nil"/>
              <w:left w:val="nil"/>
              <w:bottom w:val="single" w:sz="8" w:space="0" w:color="auto"/>
              <w:right w:val="single" w:sz="4" w:space="0" w:color="auto"/>
            </w:tcBorders>
            <w:shd w:val="clear" w:color="auto" w:fill="auto"/>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51.524.288</w:t>
            </w:r>
          </w:p>
        </w:tc>
        <w:tc>
          <w:tcPr>
            <w:tcW w:w="1300" w:type="dxa"/>
            <w:tcBorders>
              <w:top w:val="nil"/>
              <w:left w:val="nil"/>
              <w:bottom w:val="single" w:sz="8" w:space="0" w:color="auto"/>
              <w:right w:val="single" w:sz="4" w:space="0" w:color="auto"/>
            </w:tcBorders>
            <w:shd w:val="clear" w:color="auto" w:fill="auto"/>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48.747.700</w:t>
            </w:r>
          </w:p>
        </w:tc>
        <w:tc>
          <w:tcPr>
            <w:tcW w:w="1300" w:type="dxa"/>
            <w:tcBorders>
              <w:top w:val="nil"/>
              <w:left w:val="nil"/>
              <w:bottom w:val="single" w:sz="8" w:space="0" w:color="auto"/>
              <w:right w:val="single" w:sz="4" w:space="0" w:color="auto"/>
            </w:tcBorders>
            <w:shd w:val="clear" w:color="auto" w:fill="auto"/>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50.187.181</w:t>
            </w:r>
          </w:p>
        </w:tc>
        <w:tc>
          <w:tcPr>
            <w:tcW w:w="1420" w:type="dxa"/>
            <w:tcBorders>
              <w:top w:val="nil"/>
              <w:left w:val="nil"/>
              <w:bottom w:val="single" w:sz="8" w:space="0" w:color="auto"/>
              <w:right w:val="single" w:sz="8" w:space="0" w:color="auto"/>
            </w:tcBorders>
            <w:shd w:val="clear" w:color="auto" w:fill="auto"/>
            <w:noWrap/>
            <w:vAlign w:val="bottom"/>
            <w:hideMark/>
          </w:tcPr>
          <w:p w:rsidR="00A92C85" w:rsidRPr="006F2A4D" w:rsidRDefault="00A92C85" w:rsidP="00E02C75">
            <w:pPr>
              <w:jc w:val="center"/>
              <w:rPr>
                <w:rFonts w:ascii="Calibri" w:hAnsi="Calibri"/>
                <w:color w:val="000000"/>
                <w:sz w:val="22"/>
                <w:szCs w:val="22"/>
              </w:rPr>
            </w:pPr>
            <w:r w:rsidRPr="006F2A4D">
              <w:rPr>
                <w:rFonts w:ascii="Calibri" w:hAnsi="Calibri"/>
                <w:color w:val="000000"/>
                <w:sz w:val="22"/>
                <w:szCs w:val="22"/>
              </w:rPr>
              <w:t>55.702.294</w:t>
            </w:r>
          </w:p>
        </w:tc>
      </w:tr>
    </w:tbl>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r>
        <w:rPr>
          <w:rFonts w:ascii="Times New Roman" w:hAnsi="Times New Roman"/>
          <w:bCs/>
          <w:iCs/>
          <w:szCs w:val="24"/>
        </w:rPr>
        <w:t xml:space="preserve">Na rok 2017 je na území statutárního města Prostějova vydáno povolení na provoz 42 VHP (povoluje Magistrát města Prostějova) a 370 povolení na JHTZ (povoluje Ministerstvo financí). </w:t>
      </w: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r>
        <w:rPr>
          <w:rFonts w:ascii="Times New Roman" w:hAnsi="Times New Roman"/>
          <w:bCs/>
          <w:iCs/>
          <w:szCs w:val="24"/>
        </w:rPr>
        <w:t>Přehled počtu VHP a JHTZ na jednotlivých adresách provozoven herních prostor k datu 31. 12. 2016 s poznámkami o aktuálním využívání prostor</w:t>
      </w: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tbl>
      <w:tblPr>
        <w:tblW w:w="9178" w:type="dxa"/>
        <w:tblInd w:w="55" w:type="dxa"/>
        <w:tblCellMar>
          <w:left w:w="70" w:type="dxa"/>
          <w:right w:w="70" w:type="dxa"/>
        </w:tblCellMar>
        <w:tblLook w:val="04A0" w:firstRow="1" w:lastRow="0" w:firstColumn="1" w:lastColumn="0" w:noHBand="0" w:noVBand="1"/>
      </w:tblPr>
      <w:tblGrid>
        <w:gridCol w:w="1201"/>
        <w:gridCol w:w="1201"/>
        <w:gridCol w:w="876"/>
        <w:gridCol w:w="740"/>
        <w:gridCol w:w="700"/>
        <w:gridCol w:w="760"/>
        <w:gridCol w:w="700"/>
        <w:gridCol w:w="700"/>
        <w:gridCol w:w="2079"/>
        <w:gridCol w:w="221"/>
      </w:tblGrid>
      <w:tr w:rsidR="00A92C85" w:rsidRPr="00790018" w:rsidTr="00E02C75">
        <w:trPr>
          <w:trHeight w:val="315"/>
        </w:trPr>
        <w:tc>
          <w:tcPr>
            <w:tcW w:w="2402" w:type="dxa"/>
            <w:gridSpan w:val="2"/>
            <w:tcBorders>
              <w:top w:val="nil"/>
              <w:left w:val="nil"/>
              <w:bottom w:val="nil"/>
              <w:right w:val="nil"/>
            </w:tcBorders>
            <w:shd w:val="clear" w:color="auto" w:fill="auto"/>
            <w:noWrap/>
            <w:vAlign w:val="center"/>
            <w:hideMark/>
          </w:tcPr>
          <w:p w:rsidR="00A92C85" w:rsidRPr="00790018" w:rsidRDefault="00A92C85" w:rsidP="00E02C75">
            <w:pPr>
              <w:rPr>
                <w:rFonts w:ascii="Calibri" w:hAnsi="Calibri"/>
                <w:b/>
                <w:bCs/>
                <w:color w:val="000000"/>
                <w:sz w:val="22"/>
                <w:szCs w:val="22"/>
              </w:rPr>
            </w:pPr>
            <w:r w:rsidRPr="00790018">
              <w:rPr>
                <w:rFonts w:ascii="Calibri" w:hAnsi="Calibri"/>
                <w:b/>
                <w:bCs/>
                <w:color w:val="000000"/>
                <w:sz w:val="22"/>
                <w:szCs w:val="22"/>
              </w:rPr>
              <w:t>P Ř E H L E D</w:t>
            </w:r>
          </w:p>
        </w:tc>
        <w:tc>
          <w:tcPr>
            <w:tcW w:w="876" w:type="dxa"/>
            <w:tcBorders>
              <w:top w:val="nil"/>
              <w:left w:val="nil"/>
              <w:bottom w:val="nil"/>
              <w:right w:val="nil"/>
            </w:tcBorders>
            <w:shd w:val="clear" w:color="auto" w:fill="auto"/>
            <w:noWrap/>
            <w:vAlign w:val="bottom"/>
            <w:hideMark/>
          </w:tcPr>
          <w:p w:rsidR="00A92C85" w:rsidRPr="00790018" w:rsidRDefault="00A92C85" w:rsidP="00E02C75">
            <w:pPr>
              <w:rPr>
                <w:rFonts w:ascii="Times New Roman" w:hAnsi="Times New Roman"/>
                <w:color w:val="000000"/>
                <w:sz w:val="22"/>
                <w:szCs w:val="22"/>
              </w:rPr>
            </w:pPr>
          </w:p>
        </w:tc>
        <w:tc>
          <w:tcPr>
            <w:tcW w:w="740" w:type="dxa"/>
            <w:tcBorders>
              <w:top w:val="nil"/>
              <w:left w:val="nil"/>
              <w:bottom w:val="nil"/>
              <w:right w:val="nil"/>
            </w:tcBorders>
            <w:shd w:val="clear" w:color="000000" w:fill="92CDDC"/>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VHP</w:t>
            </w:r>
          </w:p>
        </w:tc>
        <w:tc>
          <w:tcPr>
            <w:tcW w:w="700" w:type="dxa"/>
            <w:tcBorders>
              <w:top w:val="nil"/>
              <w:left w:val="nil"/>
              <w:bottom w:val="nil"/>
              <w:right w:val="nil"/>
            </w:tcBorders>
            <w:shd w:val="clear" w:color="000000" w:fill="C4D79B"/>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nil"/>
              <w:right w:val="nil"/>
            </w:tcBorders>
            <w:shd w:val="clear" w:color="000000" w:fill="C4D79B"/>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JTHZ</w:t>
            </w:r>
          </w:p>
        </w:tc>
        <w:tc>
          <w:tcPr>
            <w:tcW w:w="700" w:type="dxa"/>
            <w:tcBorders>
              <w:top w:val="nil"/>
              <w:left w:val="nil"/>
              <w:bottom w:val="nil"/>
              <w:right w:val="nil"/>
            </w:tcBorders>
            <w:shd w:val="clear" w:color="000000" w:fill="C4D79B"/>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nil"/>
              <w:right w:val="nil"/>
            </w:tcBorders>
            <w:shd w:val="clear" w:color="000000" w:fill="C4D79B"/>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nil"/>
              <w:right w:val="single" w:sz="8" w:space="0" w:color="000000"/>
            </w:tcBorders>
            <w:shd w:val="clear" w:color="000000" w:fill="F2DCDB"/>
            <w:noWrap/>
            <w:vAlign w:val="center"/>
            <w:hideMark/>
          </w:tcPr>
          <w:p w:rsidR="00A92C85" w:rsidRPr="00790018" w:rsidRDefault="00A92C85" w:rsidP="00E02C75">
            <w:pPr>
              <w:rPr>
                <w:rFonts w:ascii="Calibri" w:hAnsi="Calibri"/>
                <w:b/>
                <w:bCs/>
                <w:color w:val="000000"/>
                <w:sz w:val="22"/>
                <w:szCs w:val="22"/>
              </w:rPr>
            </w:pPr>
            <w:r w:rsidRPr="00790018">
              <w:rPr>
                <w:rFonts w:ascii="Calibri" w:hAnsi="Calibri"/>
                <w:b/>
                <w:bCs/>
                <w:color w:val="000000"/>
                <w:sz w:val="22"/>
                <w:szCs w:val="22"/>
              </w:rPr>
              <w:t>účel užívání prostor</w:t>
            </w:r>
          </w:p>
        </w:tc>
      </w:tr>
      <w:tr w:rsidR="00A92C85" w:rsidRPr="00790018" w:rsidTr="00E02C75">
        <w:trPr>
          <w:trHeight w:val="315"/>
        </w:trPr>
        <w:tc>
          <w:tcPr>
            <w:tcW w:w="1201" w:type="dxa"/>
            <w:tcBorders>
              <w:top w:val="nil"/>
              <w:left w:val="nil"/>
              <w:bottom w:val="nil"/>
              <w:right w:val="nil"/>
            </w:tcBorders>
            <w:shd w:val="clear" w:color="auto" w:fill="auto"/>
            <w:noWrap/>
            <w:vAlign w:val="bottom"/>
            <w:hideMark/>
          </w:tcPr>
          <w:p w:rsidR="00A92C85" w:rsidRPr="00790018" w:rsidRDefault="00A92C85" w:rsidP="00E02C75">
            <w:pPr>
              <w:rPr>
                <w:rFonts w:ascii="Times New Roman" w:hAnsi="Times New Roman"/>
                <w:color w:val="000000"/>
                <w:sz w:val="22"/>
                <w:szCs w:val="22"/>
              </w:rPr>
            </w:pPr>
          </w:p>
        </w:tc>
        <w:tc>
          <w:tcPr>
            <w:tcW w:w="1201" w:type="dxa"/>
            <w:tcBorders>
              <w:top w:val="nil"/>
              <w:left w:val="nil"/>
              <w:bottom w:val="nil"/>
              <w:right w:val="nil"/>
            </w:tcBorders>
            <w:shd w:val="clear" w:color="auto" w:fill="auto"/>
            <w:noWrap/>
            <w:vAlign w:val="bottom"/>
            <w:hideMark/>
          </w:tcPr>
          <w:p w:rsidR="00A92C85" w:rsidRPr="00790018" w:rsidRDefault="00A92C85" w:rsidP="00E02C75">
            <w:pPr>
              <w:rPr>
                <w:rFonts w:ascii="Times New Roman" w:hAnsi="Times New Roman"/>
                <w:color w:val="000000"/>
                <w:sz w:val="22"/>
                <w:szCs w:val="22"/>
              </w:rPr>
            </w:pPr>
          </w:p>
        </w:tc>
        <w:tc>
          <w:tcPr>
            <w:tcW w:w="876" w:type="dxa"/>
            <w:tcBorders>
              <w:top w:val="nil"/>
              <w:left w:val="nil"/>
              <w:bottom w:val="nil"/>
              <w:right w:val="nil"/>
            </w:tcBorders>
            <w:shd w:val="clear" w:color="auto" w:fill="auto"/>
            <w:noWrap/>
            <w:vAlign w:val="bottom"/>
            <w:hideMark/>
          </w:tcPr>
          <w:p w:rsidR="00A92C85" w:rsidRPr="00790018" w:rsidRDefault="00A92C85" w:rsidP="00E02C75">
            <w:pPr>
              <w:rPr>
                <w:rFonts w:ascii="Times New Roman" w:hAnsi="Times New Roman"/>
                <w:color w:val="000000"/>
                <w:sz w:val="22"/>
                <w:szCs w:val="22"/>
              </w:rPr>
            </w:pPr>
          </w:p>
        </w:tc>
        <w:tc>
          <w:tcPr>
            <w:tcW w:w="740" w:type="dxa"/>
            <w:tcBorders>
              <w:top w:val="single" w:sz="8" w:space="0" w:color="auto"/>
              <w:left w:val="single" w:sz="8" w:space="0" w:color="auto"/>
              <w:bottom w:val="single" w:sz="8" w:space="0" w:color="auto"/>
              <w:right w:val="single" w:sz="8" w:space="0" w:color="auto"/>
            </w:tcBorders>
            <w:shd w:val="clear" w:color="000000" w:fill="92CDDC"/>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2017</w:t>
            </w:r>
          </w:p>
        </w:tc>
        <w:tc>
          <w:tcPr>
            <w:tcW w:w="700" w:type="dxa"/>
            <w:tcBorders>
              <w:top w:val="single" w:sz="8" w:space="0" w:color="auto"/>
              <w:left w:val="nil"/>
              <w:bottom w:val="single" w:sz="8" w:space="0" w:color="auto"/>
              <w:right w:val="single" w:sz="8" w:space="0" w:color="auto"/>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2017</w:t>
            </w:r>
          </w:p>
        </w:tc>
        <w:tc>
          <w:tcPr>
            <w:tcW w:w="760" w:type="dxa"/>
            <w:tcBorders>
              <w:top w:val="single" w:sz="8" w:space="0" w:color="auto"/>
              <w:left w:val="nil"/>
              <w:bottom w:val="single" w:sz="8" w:space="0" w:color="auto"/>
              <w:right w:val="single" w:sz="8" w:space="0" w:color="auto"/>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2018</w:t>
            </w:r>
          </w:p>
        </w:tc>
        <w:tc>
          <w:tcPr>
            <w:tcW w:w="700" w:type="dxa"/>
            <w:tcBorders>
              <w:top w:val="single" w:sz="8" w:space="0" w:color="auto"/>
              <w:left w:val="nil"/>
              <w:bottom w:val="single" w:sz="8" w:space="0" w:color="auto"/>
              <w:right w:val="single" w:sz="8" w:space="0" w:color="auto"/>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2019</w:t>
            </w:r>
          </w:p>
        </w:tc>
        <w:tc>
          <w:tcPr>
            <w:tcW w:w="700" w:type="dxa"/>
            <w:tcBorders>
              <w:top w:val="single" w:sz="8" w:space="0" w:color="auto"/>
              <w:left w:val="nil"/>
              <w:bottom w:val="single" w:sz="8" w:space="0" w:color="auto"/>
              <w:right w:val="nil"/>
            </w:tcBorders>
            <w:shd w:val="clear" w:color="000000" w:fill="C4D79B"/>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2020</w:t>
            </w:r>
          </w:p>
        </w:tc>
        <w:tc>
          <w:tcPr>
            <w:tcW w:w="2079" w:type="dxa"/>
            <w:tcBorders>
              <w:top w:val="nil"/>
              <w:left w:val="single" w:sz="8" w:space="0" w:color="auto"/>
              <w:bottom w:val="single" w:sz="8" w:space="0" w:color="auto"/>
              <w:right w:val="nil"/>
            </w:tcBorders>
            <w:shd w:val="clear" w:color="000000" w:fill="F2DCDB"/>
            <w:noWrap/>
            <w:vAlign w:val="bottom"/>
            <w:hideMark/>
          </w:tcPr>
          <w:p w:rsidR="00A92C85" w:rsidRPr="00790018" w:rsidRDefault="00A92C85" w:rsidP="00E02C75">
            <w:pPr>
              <w:rPr>
                <w:rFonts w:ascii="Times New Roman" w:hAnsi="Times New Roman"/>
                <w:color w:val="000000"/>
                <w:sz w:val="22"/>
                <w:szCs w:val="22"/>
              </w:rPr>
            </w:pPr>
            <w:r w:rsidRPr="00790018">
              <w:rPr>
                <w:rFonts w:ascii="Times New Roman" w:hAnsi="Times New Roman"/>
                <w:color w:val="000000"/>
                <w:sz w:val="22"/>
                <w:szCs w:val="22"/>
              </w:rPr>
              <w:t> </w:t>
            </w:r>
          </w:p>
        </w:tc>
        <w:tc>
          <w:tcPr>
            <w:tcW w:w="221" w:type="dxa"/>
            <w:tcBorders>
              <w:top w:val="nil"/>
              <w:left w:val="nil"/>
              <w:bottom w:val="single" w:sz="8" w:space="0" w:color="auto"/>
              <w:right w:val="single" w:sz="8" w:space="0" w:color="auto"/>
            </w:tcBorders>
            <w:shd w:val="clear" w:color="000000" w:fill="F2DCDB"/>
            <w:noWrap/>
            <w:vAlign w:val="bottom"/>
            <w:hideMark/>
          </w:tcPr>
          <w:p w:rsidR="00A92C85" w:rsidRPr="00790018" w:rsidRDefault="00A92C85" w:rsidP="00E02C75">
            <w:pPr>
              <w:rPr>
                <w:rFonts w:ascii="Times New Roman" w:hAnsi="Times New Roman"/>
                <w:color w:val="000000"/>
                <w:sz w:val="22"/>
                <w:szCs w:val="22"/>
              </w:rPr>
            </w:pPr>
            <w:r w:rsidRPr="00790018">
              <w:rPr>
                <w:rFonts w:ascii="Times New Roman" w:hAnsi="Times New Roman"/>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Barákova 2647/12</w:t>
            </w:r>
          </w:p>
        </w:tc>
        <w:tc>
          <w:tcPr>
            <w:tcW w:w="876" w:type="dxa"/>
            <w:tcBorders>
              <w:top w:val="single" w:sz="8" w:space="0" w:color="auto"/>
              <w:left w:val="nil"/>
              <w:bottom w:val="nil"/>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bar</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Brněnská 1382/8</w:t>
            </w:r>
          </w:p>
        </w:tc>
        <w:tc>
          <w:tcPr>
            <w:tcW w:w="876" w:type="dxa"/>
            <w:tcBorders>
              <w:top w:val="single" w:sz="8" w:space="0" w:color="auto"/>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xml:space="preserve">obchod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Brněnská 1385/10</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Brněnská 1419/64</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nám. Sv. Čecha 39/3</w:t>
            </w:r>
          </w:p>
        </w:tc>
        <w:tc>
          <w:tcPr>
            <w:tcW w:w="876" w:type="dxa"/>
            <w:tcBorders>
              <w:top w:val="nil"/>
              <w:left w:val="nil"/>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galerie, kavárna</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Dobrovského 1507 (Tylova 1507/52)</w:t>
            </w:r>
          </w:p>
        </w:tc>
        <w:tc>
          <w:tcPr>
            <w:tcW w:w="740" w:type="dxa"/>
            <w:tcBorders>
              <w:top w:val="nil"/>
              <w:left w:val="nil"/>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xml:space="preserve">Dolní 2119/35 </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8</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Dolní 2028/105</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strike/>
                <w:color w:val="000000"/>
                <w:sz w:val="22"/>
                <w:szCs w:val="22"/>
              </w:rPr>
              <w:t>Domamyslická</w:t>
            </w:r>
            <w:proofErr w:type="spellEnd"/>
            <w:r w:rsidRPr="00790018">
              <w:rPr>
                <w:rFonts w:ascii="Calibri" w:hAnsi="Calibri"/>
                <w:strike/>
                <w:color w:val="000000"/>
                <w:sz w:val="22"/>
                <w:szCs w:val="22"/>
              </w:rPr>
              <w:t xml:space="preserve"> 79/94</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 a penzion</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Drozdovice 1064/60</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strike/>
                <w:color w:val="000000"/>
                <w:sz w:val="22"/>
                <w:szCs w:val="22"/>
              </w:rPr>
              <w:t>Floriánské</w:t>
            </w:r>
            <w:proofErr w:type="spellEnd"/>
            <w:r w:rsidRPr="00790018">
              <w:rPr>
                <w:rFonts w:ascii="Calibri" w:hAnsi="Calibri"/>
                <w:strike/>
                <w:color w:val="000000"/>
                <w:sz w:val="22"/>
                <w:szCs w:val="22"/>
              </w:rPr>
              <w:t xml:space="preserve"> nám. 441/5</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Josefa Hory 347/2</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Husovo nám. 2152/2</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 xml:space="preserve">nám. E. </w:t>
            </w:r>
            <w:proofErr w:type="spellStart"/>
            <w:r w:rsidRPr="00790018">
              <w:rPr>
                <w:rFonts w:ascii="Calibri" w:hAnsi="Calibri"/>
                <w:strike/>
                <w:color w:val="000000"/>
                <w:sz w:val="22"/>
                <w:szCs w:val="22"/>
              </w:rPr>
              <w:t>Husserla</w:t>
            </w:r>
            <w:proofErr w:type="spellEnd"/>
            <w:r w:rsidRPr="00790018">
              <w:rPr>
                <w:rFonts w:ascii="Calibri" w:hAnsi="Calibri"/>
                <w:strike/>
                <w:color w:val="000000"/>
                <w:sz w:val="22"/>
                <w:szCs w:val="22"/>
              </w:rPr>
              <w:t xml:space="preserve"> 1646/13</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bar</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xml:space="preserve">nám. E. </w:t>
            </w:r>
            <w:proofErr w:type="spellStart"/>
            <w:r w:rsidRPr="00790018">
              <w:rPr>
                <w:rFonts w:ascii="Calibri" w:hAnsi="Calibri"/>
                <w:color w:val="000000"/>
                <w:sz w:val="22"/>
                <w:szCs w:val="22"/>
              </w:rPr>
              <w:t>Husserla</w:t>
            </w:r>
            <w:proofErr w:type="spellEnd"/>
            <w:r w:rsidRPr="00790018">
              <w:rPr>
                <w:rFonts w:ascii="Calibri" w:hAnsi="Calibri"/>
                <w:color w:val="000000"/>
                <w:sz w:val="22"/>
                <w:szCs w:val="22"/>
              </w:rPr>
              <w:t xml:space="preserve"> 1634/15</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Janáčkova 3159/2</w:t>
            </w:r>
          </w:p>
        </w:tc>
        <w:tc>
          <w:tcPr>
            <w:tcW w:w="876" w:type="dxa"/>
            <w:tcBorders>
              <w:top w:val="nil"/>
              <w:left w:val="nil"/>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Ječmínkova 4571/27</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 bar, pizzerie</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Jihoslovanská 2188/8</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Kostelecká 417/5</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5</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Kostelecká 264/18</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xml:space="preserve">obchod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Kostelecká 363/39</w:t>
            </w:r>
          </w:p>
        </w:tc>
        <w:tc>
          <w:tcPr>
            <w:tcW w:w="876" w:type="dxa"/>
            <w:tcBorders>
              <w:top w:val="nil"/>
              <w:left w:val="nil"/>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bar</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Kostelecká 309/48</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restaurace, penzion</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Kostelecká 367</w:t>
            </w:r>
          </w:p>
        </w:tc>
        <w:tc>
          <w:tcPr>
            <w:tcW w:w="876" w:type="dxa"/>
            <w:tcBorders>
              <w:top w:val="nil"/>
              <w:left w:val="nil"/>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bar</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Krapkova 3342/18</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color w:val="000000"/>
                <w:sz w:val="22"/>
                <w:szCs w:val="22"/>
              </w:rPr>
              <w:t>Krasická</w:t>
            </w:r>
            <w:proofErr w:type="spellEnd"/>
            <w:r w:rsidRPr="00790018">
              <w:rPr>
                <w:rFonts w:ascii="Calibri" w:hAnsi="Calibri"/>
                <w:color w:val="000000"/>
                <w:sz w:val="22"/>
                <w:szCs w:val="22"/>
              </w:rPr>
              <w:t xml:space="preserve"> 942/8</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7</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 hospoda</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strike/>
                <w:color w:val="000000"/>
                <w:sz w:val="22"/>
                <w:szCs w:val="22"/>
              </w:rPr>
              <w:t>Kravařova</w:t>
            </w:r>
            <w:proofErr w:type="spellEnd"/>
            <w:r w:rsidRPr="00790018">
              <w:rPr>
                <w:rFonts w:ascii="Calibri" w:hAnsi="Calibri"/>
                <w:strike/>
                <w:color w:val="000000"/>
                <w:sz w:val="22"/>
                <w:szCs w:val="22"/>
              </w:rPr>
              <w:t xml:space="preserve"> 126/1a</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xml:space="preserve">obchod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strike/>
                <w:color w:val="000000"/>
                <w:sz w:val="22"/>
                <w:szCs w:val="22"/>
              </w:rPr>
              <w:t>Libušika</w:t>
            </w:r>
            <w:proofErr w:type="spellEnd"/>
            <w:r w:rsidRPr="00790018">
              <w:rPr>
                <w:rFonts w:ascii="Calibri" w:hAnsi="Calibri"/>
                <w:strike/>
                <w:color w:val="000000"/>
                <w:sz w:val="22"/>
                <w:szCs w:val="22"/>
              </w:rPr>
              <w:t xml:space="preserve"> 1555/9</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nil"/>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Lidická 1718/14</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EEECE1"/>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Melantrichova 3151/71</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Mlýnská 947/19a</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9</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16</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Netušilova 59/6</w:t>
            </w:r>
          </w:p>
        </w:tc>
        <w:tc>
          <w:tcPr>
            <w:tcW w:w="876" w:type="dxa"/>
            <w:tcBorders>
              <w:top w:val="nil"/>
              <w:left w:val="nil"/>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kavárna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Olomoucká 2929/27</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Olomoucká 4140/27a</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Olomoucká 2896/47</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5</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V. Outraty 2844/1</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Pernštýnské nám. 194/11</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17</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6</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Plumlovská 926/13</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6</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Plumlovská 925/15</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EEECE1"/>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5</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obchod</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Plumlovská 4167/18</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35</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Plumlovská 456/32</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xml:space="preserve">obchod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Plumlovská 828/53</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Plumlovská 561/58</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obchod</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Plumlovská 4126</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17</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Plumlovská 5127</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Poděbradovo nám. 1378/7</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24</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Poděbradovo nám. 1377/8</w:t>
            </w:r>
          </w:p>
        </w:tc>
        <w:tc>
          <w:tcPr>
            <w:tcW w:w="74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Poděbradovo nám. 984/10</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color w:val="000000"/>
                <w:sz w:val="22"/>
                <w:szCs w:val="22"/>
              </w:rPr>
              <w:t>Přemyslovka</w:t>
            </w:r>
            <w:proofErr w:type="spellEnd"/>
            <w:r w:rsidRPr="00790018">
              <w:rPr>
                <w:rFonts w:ascii="Calibri" w:hAnsi="Calibri"/>
                <w:color w:val="000000"/>
                <w:sz w:val="22"/>
                <w:szCs w:val="22"/>
              </w:rPr>
              <w:t xml:space="preserve"> 2497/31</w:t>
            </w:r>
          </w:p>
        </w:tc>
        <w:tc>
          <w:tcPr>
            <w:tcW w:w="740" w:type="dxa"/>
            <w:tcBorders>
              <w:top w:val="nil"/>
              <w:left w:val="nil"/>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FFFF"/>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Puškinova 1935/13</w:t>
            </w:r>
          </w:p>
        </w:tc>
        <w:tc>
          <w:tcPr>
            <w:tcW w:w="876" w:type="dxa"/>
            <w:tcBorders>
              <w:top w:val="nil"/>
              <w:left w:val="nil"/>
              <w:bottom w:val="single" w:sz="8" w:space="0" w:color="auto"/>
              <w:right w:val="nil"/>
            </w:tcBorders>
            <w:shd w:val="clear" w:color="000000" w:fill="FFFFFF"/>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CE6F1"/>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FFFFFF"/>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000000" w:fill="FFFFFF"/>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color w:val="000000"/>
                <w:sz w:val="22"/>
                <w:szCs w:val="22"/>
              </w:rPr>
              <w:t>Sídl</w:t>
            </w:r>
            <w:proofErr w:type="spellEnd"/>
            <w:r w:rsidRPr="00790018">
              <w:rPr>
                <w:rFonts w:ascii="Calibri" w:hAnsi="Calibri"/>
                <w:color w:val="000000"/>
                <w:sz w:val="22"/>
                <w:szCs w:val="22"/>
              </w:rPr>
              <w:t>. Svobody 3576/77</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50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18</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Svatoplukova 1647/2</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15</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Svatoplukova 2463/29</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23</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Svatoplukova 2465/33</w:t>
            </w:r>
          </w:p>
        </w:tc>
        <w:tc>
          <w:tcPr>
            <w:tcW w:w="74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K. Svolinského 287/7</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34</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9</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K. Svolinského 346/7a</w:t>
            </w:r>
          </w:p>
        </w:tc>
        <w:tc>
          <w:tcPr>
            <w:tcW w:w="74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2300" w:type="dxa"/>
            <w:gridSpan w:val="2"/>
            <w:tcBorders>
              <w:top w:val="single" w:sz="8" w:space="0" w:color="auto"/>
              <w:left w:val="single" w:sz="8" w:space="0" w:color="auto"/>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 hospoda</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Šárka 3590/23</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19</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6</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FFFF"/>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Školní 206/24</w:t>
            </w:r>
          </w:p>
        </w:tc>
        <w:tc>
          <w:tcPr>
            <w:tcW w:w="876" w:type="dxa"/>
            <w:tcBorders>
              <w:top w:val="nil"/>
              <w:left w:val="nil"/>
              <w:bottom w:val="single" w:sz="8" w:space="0" w:color="auto"/>
              <w:right w:val="nil"/>
            </w:tcBorders>
            <w:shd w:val="clear" w:color="000000" w:fill="FFFFFF"/>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6</w:t>
            </w:r>
          </w:p>
        </w:tc>
        <w:tc>
          <w:tcPr>
            <w:tcW w:w="76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bar</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Tylova 1700/5</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U stadionu 2459/1</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restaurace</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color w:val="000000"/>
                <w:sz w:val="22"/>
                <w:szCs w:val="22"/>
              </w:rPr>
              <w:t>Určická</w:t>
            </w:r>
            <w:proofErr w:type="spellEnd"/>
            <w:r w:rsidRPr="00790018">
              <w:rPr>
                <w:rFonts w:ascii="Calibri" w:hAnsi="Calibri"/>
                <w:color w:val="000000"/>
                <w:sz w:val="22"/>
                <w:szCs w:val="22"/>
              </w:rPr>
              <w:t xml:space="preserve"> 1220/2</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Újezd 2174/11</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Vápenice 2949/29</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6</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Vodní 896/30</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19</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proofErr w:type="spellStart"/>
            <w:r w:rsidRPr="00790018">
              <w:rPr>
                <w:rFonts w:ascii="Calibri" w:hAnsi="Calibri"/>
                <w:color w:val="000000"/>
                <w:sz w:val="22"/>
                <w:szCs w:val="22"/>
              </w:rPr>
              <w:t>Vrahovická</w:t>
            </w:r>
            <w:proofErr w:type="spellEnd"/>
            <w:r w:rsidRPr="00790018">
              <w:rPr>
                <w:rFonts w:ascii="Calibri" w:hAnsi="Calibri"/>
                <w:color w:val="000000"/>
                <w:sz w:val="22"/>
                <w:szCs w:val="22"/>
              </w:rPr>
              <w:t xml:space="preserve"> 615/61</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2300" w:type="dxa"/>
            <w:gridSpan w:val="2"/>
            <w:tcBorders>
              <w:top w:val="single" w:sz="8" w:space="0" w:color="auto"/>
              <w:left w:val="single" w:sz="8" w:space="0" w:color="auto"/>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 hospoda</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Wolkerova 1550/2</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27</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Wolkerova 1585/5</w:t>
            </w:r>
          </w:p>
        </w:tc>
        <w:tc>
          <w:tcPr>
            <w:tcW w:w="876" w:type="dxa"/>
            <w:tcBorders>
              <w:top w:val="nil"/>
              <w:left w:val="nil"/>
              <w:bottom w:val="single" w:sz="8" w:space="0" w:color="auto"/>
              <w:right w:val="nil"/>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restaurace</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Wolkerova 1579/13</w:t>
            </w:r>
          </w:p>
        </w:tc>
        <w:tc>
          <w:tcPr>
            <w:tcW w:w="876" w:type="dxa"/>
            <w:tcBorders>
              <w:top w:val="nil"/>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Wolkerova 1698/20</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 bar</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Wolkerova 1602/23</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single" w:sz="8" w:space="0" w:color="auto"/>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 hospoda</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Západní 1/75</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strike/>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strike/>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strike/>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strike/>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strike/>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GALA, a.s.</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Západní 94/71</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Žižkovo nám. 120/2</w:t>
            </w:r>
          </w:p>
        </w:tc>
        <w:tc>
          <w:tcPr>
            <w:tcW w:w="876" w:type="dxa"/>
            <w:tcBorders>
              <w:top w:val="nil"/>
              <w:left w:val="nil"/>
              <w:bottom w:val="single" w:sz="8" w:space="0" w:color="auto"/>
              <w:right w:val="nil"/>
            </w:tcBorders>
            <w:shd w:val="clear" w:color="000000" w:fill="FF9933"/>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FF993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300" w:type="dxa"/>
            <w:gridSpan w:val="2"/>
            <w:tcBorders>
              <w:top w:val="single" w:sz="8" w:space="0" w:color="auto"/>
              <w:left w:val="nil"/>
              <w:bottom w:val="single" w:sz="8" w:space="0" w:color="auto"/>
              <w:right w:val="nil"/>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objekt je prázdný</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Žižkovo nám. 89/4</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40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5</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Žižkovo nám. 84/9</w:t>
            </w:r>
          </w:p>
        </w:tc>
        <w:tc>
          <w:tcPr>
            <w:tcW w:w="876" w:type="dxa"/>
            <w:tcBorders>
              <w:top w:val="nil"/>
              <w:left w:val="nil"/>
              <w:bottom w:val="single" w:sz="8" w:space="0" w:color="auto"/>
              <w:right w:val="nil"/>
            </w:tcBorders>
            <w:shd w:val="clear" w:color="000000" w:fill="92D050"/>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nil"/>
              <w:left w:val="single" w:sz="8" w:space="0" w:color="auto"/>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30</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92D050"/>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12</w:t>
            </w:r>
          </w:p>
        </w:tc>
        <w:tc>
          <w:tcPr>
            <w:tcW w:w="2079"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herna</w:t>
            </w:r>
          </w:p>
        </w:tc>
        <w:tc>
          <w:tcPr>
            <w:tcW w:w="221" w:type="dxa"/>
            <w:tcBorders>
              <w:top w:val="nil"/>
              <w:left w:val="nil"/>
              <w:bottom w:val="single" w:sz="8" w:space="0" w:color="auto"/>
              <w:right w:val="nil"/>
            </w:tcBorders>
            <w:shd w:val="clear" w:color="000000" w:fill="92D050"/>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Žižkovo nám. 142/13</w:t>
            </w:r>
          </w:p>
        </w:tc>
        <w:tc>
          <w:tcPr>
            <w:tcW w:w="740" w:type="dxa"/>
            <w:tcBorders>
              <w:top w:val="nil"/>
              <w:left w:val="nil"/>
              <w:bottom w:val="single" w:sz="8" w:space="0" w:color="auto"/>
              <w:right w:val="single" w:sz="8" w:space="0" w:color="auto"/>
            </w:tcBorders>
            <w:shd w:val="clear" w:color="000000" w:fill="DAEEF3"/>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2</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single" w:sz="8" w:space="0" w:color="auto"/>
              <w:right w:val="single" w:sz="8" w:space="0" w:color="auto"/>
            </w:tcBorders>
            <w:shd w:val="clear" w:color="000000" w:fill="EBF1DE"/>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hospoda</w:t>
            </w:r>
          </w:p>
        </w:tc>
        <w:tc>
          <w:tcPr>
            <w:tcW w:w="221" w:type="dxa"/>
            <w:tcBorders>
              <w:top w:val="nil"/>
              <w:left w:val="nil"/>
              <w:bottom w:val="single" w:sz="8" w:space="0" w:color="auto"/>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3278" w:type="dxa"/>
            <w:gridSpan w:val="3"/>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A92C85" w:rsidRPr="00790018" w:rsidRDefault="00A92C85" w:rsidP="00E02C75">
            <w:pPr>
              <w:rPr>
                <w:rFonts w:ascii="Calibri" w:hAnsi="Calibri"/>
                <w:color w:val="000000"/>
                <w:sz w:val="22"/>
                <w:szCs w:val="22"/>
              </w:rPr>
            </w:pPr>
            <w:r w:rsidRPr="00790018">
              <w:rPr>
                <w:rFonts w:ascii="Calibri" w:hAnsi="Calibri"/>
                <w:strike/>
                <w:color w:val="000000"/>
                <w:sz w:val="22"/>
                <w:szCs w:val="22"/>
              </w:rPr>
              <w:t>Žižkovo nám. 141/14</w:t>
            </w:r>
          </w:p>
        </w:tc>
        <w:tc>
          <w:tcPr>
            <w:tcW w:w="740" w:type="dxa"/>
            <w:tcBorders>
              <w:top w:val="nil"/>
              <w:left w:val="nil"/>
              <w:bottom w:val="nil"/>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nil"/>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60" w:type="dxa"/>
            <w:tcBorders>
              <w:top w:val="nil"/>
              <w:left w:val="nil"/>
              <w:bottom w:val="nil"/>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nil"/>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700" w:type="dxa"/>
            <w:tcBorders>
              <w:top w:val="nil"/>
              <w:left w:val="nil"/>
              <w:bottom w:val="nil"/>
              <w:right w:val="single" w:sz="8" w:space="0" w:color="auto"/>
            </w:tcBorders>
            <w:shd w:val="clear" w:color="000000" w:fill="F79646"/>
            <w:noWrap/>
            <w:vAlign w:val="center"/>
            <w:hideMark/>
          </w:tcPr>
          <w:p w:rsidR="00A92C85" w:rsidRPr="00790018" w:rsidRDefault="00A92C85" w:rsidP="00E02C75">
            <w:pPr>
              <w:jc w:val="center"/>
              <w:rPr>
                <w:rFonts w:ascii="Calibri" w:hAnsi="Calibri"/>
                <w:color w:val="000000"/>
                <w:sz w:val="22"/>
                <w:szCs w:val="22"/>
              </w:rPr>
            </w:pPr>
            <w:r w:rsidRPr="00790018">
              <w:rPr>
                <w:rFonts w:ascii="Calibri" w:hAnsi="Calibri"/>
                <w:color w:val="000000"/>
                <w:sz w:val="22"/>
                <w:szCs w:val="22"/>
              </w:rPr>
              <w:t> </w:t>
            </w:r>
          </w:p>
        </w:tc>
        <w:tc>
          <w:tcPr>
            <w:tcW w:w="2079" w:type="dxa"/>
            <w:tcBorders>
              <w:top w:val="nil"/>
              <w:left w:val="nil"/>
              <w:bottom w:val="nil"/>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obchod</w:t>
            </w:r>
          </w:p>
        </w:tc>
        <w:tc>
          <w:tcPr>
            <w:tcW w:w="221" w:type="dxa"/>
            <w:tcBorders>
              <w:top w:val="nil"/>
              <w:left w:val="nil"/>
              <w:bottom w:val="nil"/>
              <w:right w:val="nil"/>
            </w:tcBorders>
            <w:shd w:val="clear" w:color="auto" w:fill="auto"/>
            <w:noWrap/>
            <w:vAlign w:val="bottom"/>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r>
      <w:tr w:rsidR="00A92C85" w:rsidRPr="00790018" w:rsidTr="00E02C75">
        <w:trPr>
          <w:trHeight w:val="315"/>
        </w:trPr>
        <w:tc>
          <w:tcPr>
            <w:tcW w:w="2402" w:type="dxa"/>
            <w:gridSpan w:val="2"/>
            <w:tcBorders>
              <w:top w:val="single" w:sz="8" w:space="0" w:color="auto"/>
              <w:left w:val="single" w:sz="8" w:space="0" w:color="auto"/>
              <w:bottom w:val="single" w:sz="8" w:space="0" w:color="auto"/>
              <w:right w:val="nil"/>
            </w:tcBorders>
            <w:shd w:val="clear" w:color="000000" w:fill="FFFFFF"/>
            <w:noWrap/>
            <w:vAlign w:val="center"/>
            <w:hideMark/>
          </w:tcPr>
          <w:p w:rsidR="00A92C85" w:rsidRPr="00790018" w:rsidRDefault="00A92C85" w:rsidP="00E02C75">
            <w:pPr>
              <w:rPr>
                <w:rFonts w:ascii="Calibri" w:hAnsi="Calibri"/>
                <w:b/>
                <w:bCs/>
                <w:color w:val="000000"/>
                <w:sz w:val="22"/>
                <w:szCs w:val="22"/>
              </w:rPr>
            </w:pPr>
            <w:r w:rsidRPr="00790018">
              <w:rPr>
                <w:rFonts w:ascii="Calibri" w:hAnsi="Calibri"/>
                <w:b/>
                <w:bCs/>
                <w:color w:val="000000"/>
                <w:sz w:val="22"/>
                <w:szCs w:val="22"/>
              </w:rPr>
              <w:t>C E L K E M</w:t>
            </w:r>
          </w:p>
        </w:tc>
        <w:tc>
          <w:tcPr>
            <w:tcW w:w="876" w:type="dxa"/>
            <w:tcBorders>
              <w:top w:val="nil"/>
              <w:left w:val="nil"/>
              <w:bottom w:val="single" w:sz="8" w:space="0" w:color="auto"/>
              <w:right w:val="single" w:sz="8" w:space="0" w:color="auto"/>
            </w:tcBorders>
            <w:shd w:val="clear" w:color="000000" w:fill="FFFFFF"/>
            <w:noWrap/>
            <w:vAlign w:val="center"/>
            <w:hideMark/>
          </w:tcPr>
          <w:p w:rsidR="00A92C85" w:rsidRPr="00790018" w:rsidRDefault="00A92C85" w:rsidP="00E02C75">
            <w:pPr>
              <w:rPr>
                <w:rFonts w:ascii="Calibri" w:hAnsi="Calibri"/>
                <w:color w:val="000000"/>
                <w:sz w:val="22"/>
                <w:szCs w:val="22"/>
              </w:rPr>
            </w:pPr>
            <w:r w:rsidRPr="00790018">
              <w:rPr>
                <w:rFonts w:ascii="Calibri" w:hAnsi="Calibri"/>
                <w:color w:val="000000"/>
                <w:sz w:val="22"/>
                <w:szCs w:val="22"/>
              </w:rPr>
              <w:t> </w:t>
            </w:r>
          </w:p>
        </w:tc>
        <w:tc>
          <w:tcPr>
            <w:tcW w:w="740" w:type="dxa"/>
            <w:tcBorders>
              <w:top w:val="single" w:sz="8" w:space="0" w:color="auto"/>
              <w:left w:val="nil"/>
              <w:bottom w:val="single" w:sz="8" w:space="0" w:color="auto"/>
              <w:right w:val="single" w:sz="8" w:space="0" w:color="auto"/>
            </w:tcBorders>
            <w:shd w:val="clear" w:color="000000" w:fill="92CDDC"/>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40</w:t>
            </w:r>
          </w:p>
        </w:tc>
        <w:tc>
          <w:tcPr>
            <w:tcW w:w="700" w:type="dxa"/>
            <w:tcBorders>
              <w:top w:val="single" w:sz="8" w:space="0" w:color="auto"/>
              <w:left w:val="nil"/>
              <w:bottom w:val="single" w:sz="8" w:space="0" w:color="auto"/>
              <w:right w:val="single" w:sz="8" w:space="0" w:color="auto"/>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43</w:t>
            </w:r>
          </w:p>
        </w:tc>
        <w:tc>
          <w:tcPr>
            <w:tcW w:w="760" w:type="dxa"/>
            <w:tcBorders>
              <w:top w:val="single" w:sz="8" w:space="0" w:color="auto"/>
              <w:left w:val="nil"/>
              <w:bottom w:val="single" w:sz="8" w:space="0" w:color="auto"/>
              <w:right w:val="single" w:sz="8" w:space="0" w:color="auto"/>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518</w:t>
            </w:r>
          </w:p>
        </w:tc>
        <w:tc>
          <w:tcPr>
            <w:tcW w:w="700" w:type="dxa"/>
            <w:tcBorders>
              <w:top w:val="single" w:sz="8" w:space="0" w:color="auto"/>
              <w:left w:val="nil"/>
              <w:bottom w:val="single" w:sz="8" w:space="0" w:color="auto"/>
              <w:right w:val="single" w:sz="8" w:space="0" w:color="auto"/>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101</w:t>
            </w:r>
          </w:p>
        </w:tc>
        <w:tc>
          <w:tcPr>
            <w:tcW w:w="700" w:type="dxa"/>
            <w:tcBorders>
              <w:top w:val="single" w:sz="8" w:space="0" w:color="auto"/>
              <w:left w:val="nil"/>
              <w:bottom w:val="single" w:sz="8" w:space="0" w:color="auto"/>
              <w:right w:val="nil"/>
            </w:tcBorders>
            <w:shd w:val="clear" w:color="000000" w:fill="C4D79B"/>
            <w:noWrap/>
            <w:vAlign w:val="center"/>
            <w:hideMark/>
          </w:tcPr>
          <w:p w:rsidR="00A92C85" w:rsidRPr="00790018" w:rsidRDefault="00A92C85" w:rsidP="00E02C75">
            <w:pPr>
              <w:jc w:val="center"/>
              <w:rPr>
                <w:rFonts w:ascii="Calibri" w:hAnsi="Calibri"/>
                <w:b/>
                <w:bCs/>
                <w:color w:val="000000"/>
                <w:sz w:val="22"/>
                <w:szCs w:val="22"/>
              </w:rPr>
            </w:pPr>
            <w:r w:rsidRPr="00790018">
              <w:rPr>
                <w:rFonts w:ascii="Calibri" w:hAnsi="Calibri"/>
                <w:b/>
                <w:bCs/>
                <w:color w:val="000000"/>
                <w:sz w:val="22"/>
                <w:szCs w:val="22"/>
              </w:rPr>
              <w:t>56</w:t>
            </w:r>
          </w:p>
        </w:tc>
        <w:tc>
          <w:tcPr>
            <w:tcW w:w="2079" w:type="dxa"/>
            <w:tcBorders>
              <w:top w:val="single" w:sz="8" w:space="0" w:color="auto"/>
              <w:left w:val="single" w:sz="8" w:space="0" w:color="auto"/>
              <w:bottom w:val="single" w:sz="8" w:space="0" w:color="auto"/>
              <w:right w:val="nil"/>
            </w:tcBorders>
            <w:shd w:val="clear" w:color="000000" w:fill="FFFFFF"/>
            <w:noWrap/>
            <w:vAlign w:val="bottom"/>
            <w:hideMark/>
          </w:tcPr>
          <w:p w:rsidR="00A92C85" w:rsidRPr="00790018" w:rsidRDefault="00A92C85" w:rsidP="00E02C75">
            <w:pPr>
              <w:rPr>
                <w:rFonts w:ascii="Times New Roman" w:hAnsi="Times New Roman"/>
                <w:color w:val="000000"/>
                <w:sz w:val="22"/>
                <w:szCs w:val="22"/>
              </w:rPr>
            </w:pPr>
            <w:r w:rsidRPr="00790018">
              <w:rPr>
                <w:rFonts w:ascii="Times New Roman" w:hAnsi="Times New Roman"/>
                <w:color w:val="000000"/>
                <w:sz w:val="22"/>
                <w:szCs w:val="22"/>
              </w:rPr>
              <w:t> </w:t>
            </w:r>
          </w:p>
        </w:tc>
        <w:tc>
          <w:tcPr>
            <w:tcW w:w="221" w:type="dxa"/>
            <w:tcBorders>
              <w:top w:val="single" w:sz="8" w:space="0" w:color="auto"/>
              <w:left w:val="nil"/>
              <w:bottom w:val="single" w:sz="8" w:space="0" w:color="auto"/>
              <w:right w:val="single" w:sz="8" w:space="0" w:color="auto"/>
            </w:tcBorders>
            <w:shd w:val="clear" w:color="auto" w:fill="auto"/>
            <w:noWrap/>
            <w:vAlign w:val="bottom"/>
            <w:hideMark/>
          </w:tcPr>
          <w:p w:rsidR="00A92C85" w:rsidRPr="00790018" w:rsidRDefault="00A92C85" w:rsidP="00E02C75">
            <w:pPr>
              <w:rPr>
                <w:rFonts w:ascii="Times New Roman" w:hAnsi="Times New Roman"/>
                <w:color w:val="000000"/>
                <w:sz w:val="22"/>
                <w:szCs w:val="22"/>
              </w:rPr>
            </w:pPr>
            <w:r w:rsidRPr="00790018">
              <w:rPr>
                <w:rFonts w:ascii="Times New Roman" w:hAnsi="Times New Roman"/>
                <w:color w:val="000000"/>
                <w:sz w:val="22"/>
                <w:szCs w:val="22"/>
              </w:rPr>
              <w:t> </w:t>
            </w:r>
          </w:p>
        </w:tc>
      </w:tr>
    </w:tbl>
    <w:p w:rsidR="00A92C85" w:rsidRDefault="00A92C85" w:rsidP="00A92C85">
      <w:pPr>
        <w:jc w:val="both"/>
        <w:rPr>
          <w:rFonts w:ascii="Times New Roman" w:hAnsi="Times New Roman"/>
          <w:bCs/>
          <w:iCs/>
          <w:szCs w:val="24"/>
        </w:rPr>
      </w:pPr>
    </w:p>
    <w:tbl>
      <w:tblPr>
        <w:tblW w:w="5440" w:type="dxa"/>
        <w:tblInd w:w="55" w:type="dxa"/>
        <w:tblCellMar>
          <w:left w:w="70" w:type="dxa"/>
          <w:right w:w="70" w:type="dxa"/>
        </w:tblCellMar>
        <w:tblLook w:val="04A0" w:firstRow="1" w:lastRow="0" w:firstColumn="1" w:lastColumn="0" w:noHBand="0" w:noVBand="1"/>
      </w:tblPr>
      <w:tblGrid>
        <w:gridCol w:w="960"/>
        <w:gridCol w:w="4480"/>
      </w:tblGrid>
      <w:tr w:rsidR="00A92C85" w:rsidRPr="00CD3FD6" w:rsidTr="00E02C75">
        <w:trPr>
          <w:trHeight w:val="300"/>
        </w:trPr>
        <w:tc>
          <w:tcPr>
            <w:tcW w:w="960" w:type="dxa"/>
            <w:tcBorders>
              <w:top w:val="nil"/>
              <w:left w:val="nil"/>
              <w:bottom w:val="nil"/>
              <w:right w:val="nil"/>
            </w:tcBorders>
            <w:shd w:val="clear" w:color="000000" w:fill="FF9933"/>
            <w:noWrap/>
            <w:vAlign w:val="bottom"/>
            <w:hideMark/>
          </w:tcPr>
          <w:p w:rsidR="00A92C85" w:rsidRPr="00CD3FD6" w:rsidRDefault="00A92C85" w:rsidP="00E02C75">
            <w:pPr>
              <w:rPr>
                <w:rFonts w:ascii="Calibri" w:hAnsi="Calibri"/>
                <w:color w:val="000000"/>
                <w:sz w:val="22"/>
                <w:szCs w:val="22"/>
              </w:rPr>
            </w:pPr>
            <w:r w:rsidRPr="00CD3FD6">
              <w:rPr>
                <w:rFonts w:ascii="Calibri" w:hAnsi="Calibri"/>
                <w:color w:val="000000"/>
                <w:sz w:val="22"/>
                <w:szCs w:val="22"/>
              </w:rPr>
              <w:t> </w:t>
            </w:r>
          </w:p>
        </w:tc>
        <w:tc>
          <w:tcPr>
            <w:tcW w:w="4480" w:type="dxa"/>
            <w:tcBorders>
              <w:top w:val="nil"/>
              <w:left w:val="nil"/>
              <w:bottom w:val="nil"/>
              <w:right w:val="nil"/>
            </w:tcBorders>
            <w:shd w:val="clear" w:color="auto" w:fill="auto"/>
            <w:noWrap/>
            <w:vAlign w:val="bottom"/>
            <w:hideMark/>
          </w:tcPr>
          <w:p w:rsidR="00A92C85" w:rsidRPr="00CD3FD6" w:rsidRDefault="00A92C85" w:rsidP="00E02C75">
            <w:pPr>
              <w:rPr>
                <w:rFonts w:ascii="Calibri" w:hAnsi="Calibri"/>
                <w:color w:val="000000"/>
                <w:sz w:val="22"/>
                <w:szCs w:val="22"/>
              </w:rPr>
            </w:pPr>
            <w:r w:rsidRPr="00CD3FD6">
              <w:rPr>
                <w:rFonts w:ascii="Calibri" w:hAnsi="Calibri"/>
                <w:color w:val="000000"/>
                <w:sz w:val="22"/>
                <w:szCs w:val="22"/>
              </w:rPr>
              <w:t xml:space="preserve">na adrese není povoleno žádné JTHZ ani VHP </w:t>
            </w:r>
          </w:p>
        </w:tc>
      </w:tr>
    </w:tbl>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
          <w:bCs/>
          <w:iCs/>
          <w:szCs w:val="24"/>
        </w:rPr>
      </w:pPr>
      <w:r w:rsidRPr="007541A4">
        <w:rPr>
          <w:rFonts w:ascii="Times New Roman" w:hAnsi="Times New Roman"/>
          <w:b/>
          <w:bCs/>
          <w:iCs/>
          <w:szCs w:val="24"/>
        </w:rPr>
        <w:t>Navržený způsob regulace</w:t>
      </w:r>
      <w:r>
        <w:rPr>
          <w:rFonts w:ascii="Times New Roman" w:hAnsi="Times New Roman"/>
          <w:b/>
          <w:bCs/>
          <w:iCs/>
          <w:szCs w:val="24"/>
        </w:rPr>
        <w:t xml:space="preserve"> hazardních her</w:t>
      </w:r>
    </w:p>
    <w:p w:rsidR="00A92C85" w:rsidRDefault="00A92C85" w:rsidP="00A92C85">
      <w:pPr>
        <w:jc w:val="both"/>
        <w:rPr>
          <w:rFonts w:ascii="Times New Roman" w:hAnsi="Times New Roman"/>
          <w:b/>
          <w:bCs/>
          <w:iCs/>
          <w:szCs w:val="24"/>
        </w:rPr>
      </w:pPr>
    </w:p>
    <w:p w:rsidR="00A92C85" w:rsidRDefault="00A92C85" w:rsidP="00A92C85">
      <w:pPr>
        <w:numPr>
          <w:ilvl w:val="0"/>
          <w:numId w:val="41"/>
        </w:numPr>
        <w:jc w:val="both"/>
        <w:rPr>
          <w:rFonts w:ascii="Times New Roman" w:hAnsi="Times New Roman"/>
          <w:b/>
          <w:bCs/>
          <w:iCs/>
          <w:szCs w:val="24"/>
        </w:rPr>
      </w:pPr>
      <w:r>
        <w:rPr>
          <w:rFonts w:ascii="Times New Roman" w:hAnsi="Times New Roman"/>
          <w:b/>
          <w:bCs/>
          <w:iCs/>
          <w:szCs w:val="24"/>
        </w:rPr>
        <w:t>návrh regulace druhů hazardních her</w:t>
      </w:r>
    </w:p>
    <w:p w:rsidR="00A92C85" w:rsidRDefault="00A92C85" w:rsidP="00A92C85">
      <w:pPr>
        <w:jc w:val="both"/>
        <w:rPr>
          <w:rFonts w:ascii="Times New Roman" w:hAnsi="Times New Roman"/>
          <w:bCs/>
          <w:iCs/>
          <w:szCs w:val="24"/>
        </w:rPr>
      </w:pPr>
      <w:r>
        <w:rPr>
          <w:rFonts w:ascii="Times New Roman" w:hAnsi="Times New Roman"/>
          <w:bCs/>
          <w:iCs/>
          <w:szCs w:val="24"/>
        </w:rPr>
        <w:t xml:space="preserve">Zákon o hazardních hrách umožnuje obecně závaznou vyhláškou regulovat tyto druhy hazardních her: </w:t>
      </w:r>
    </w:p>
    <w:p w:rsidR="00A92C85" w:rsidRDefault="00A92C85" w:rsidP="00A92C85">
      <w:pPr>
        <w:jc w:val="both"/>
        <w:rPr>
          <w:rFonts w:ascii="Times New Roman" w:hAnsi="Times New Roman"/>
          <w:bCs/>
          <w:iCs/>
          <w:szCs w:val="24"/>
        </w:rPr>
      </w:pPr>
    </w:p>
    <w:p w:rsidR="00A92C85" w:rsidRPr="00DA440C" w:rsidRDefault="00A92C85" w:rsidP="00A92C85">
      <w:pPr>
        <w:numPr>
          <w:ilvl w:val="0"/>
          <w:numId w:val="37"/>
        </w:numPr>
        <w:jc w:val="both"/>
        <w:rPr>
          <w:rFonts w:ascii="Times New Roman" w:hAnsi="Times New Roman"/>
          <w:bCs/>
          <w:iCs/>
          <w:szCs w:val="24"/>
        </w:rPr>
      </w:pPr>
      <w:r>
        <w:rPr>
          <w:rFonts w:ascii="Times New Roman" w:hAnsi="Times New Roman"/>
          <w:bCs/>
          <w:iCs/>
          <w:szCs w:val="24"/>
        </w:rPr>
        <w:t>bingo (§ 39 a násl. zákona o hazardu)</w:t>
      </w:r>
    </w:p>
    <w:p w:rsidR="00A92C85" w:rsidRPr="00DA440C" w:rsidRDefault="00A92C85" w:rsidP="00A92C85">
      <w:pPr>
        <w:numPr>
          <w:ilvl w:val="0"/>
          <w:numId w:val="37"/>
        </w:numPr>
        <w:jc w:val="both"/>
        <w:rPr>
          <w:rFonts w:ascii="Times New Roman" w:hAnsi="Times New Roman"/>
          <w:bCs/>
          <w:iCs/>
          <w:szCs w:val="24"/>
        </w:rPr>
      </w:pPr>
      <w:r>
        <w:rPr>
          <w:rFonts w:ascii="Times New Roman" w:hAnsi="Times New Roman"/>
          <w:bCs/>
          <w:iCs/>
          <w:szCs w:val="24"/>
        </w:rPr>
        <w:t>technickou hru (§ 42 a násl. zákona o hazardu)</w:t>
      </w:r>
    </w:p>
    <w:p w:rsidR="00A92C85" w:rsidRDefault="00A92C85" w:rsidP="00A92C85">
      <w:pPr>
        <w:numPr>
          <w:ilvl w:val="0"/>
          <w:numId w:val="37"/>
        </w:numPr>
        <w:jc w:val="both"/>
        <w:rPr>
          <w:rFonts w:ascii="Times New Roman" w:hAnsi="Times New Roman"/>
          <w:bCs/>
          <w:iCs/>
          <w:szCs w:val="24"/>
        </w:rPr>
      </w:pPr>
      <w:r>
        <w:rPr>
          <w:rFonts w:ascii="Times New Roman" w:hAnsi="Times New Roman"/>
          <w:bCs/>
          <w:iCs/>
          <w:szCs w:val="24"/>
        </w:rPr>
        <w:t>živou hru (§ 57 a násl. zákon o hazardu)</w:t>
      </w:r>
    </w:p>
    <w:p w:rsidR="00A92C85" w:rsidRPr="00DA440C" w:rsidRDefault="00A92C85" w:rsidP="00A92C85">
      <w:pPr>
        <w:numPr>
          <w:ilvl w:val="0"/>
          <w:numId w:val="37"/>
        </w:numPr>
        <w:jc w:val="both"/>
        <w:rPr>
          <w:rFonts w:ascii="Times New Roman" w:hAnsi="Times New Roman"/>
          <w:bCs/>
          <w:iCs/>
          <w:szCs w:val="24"/>
        </w:rPr>
      </w:pPr>
      <w:r w:rsidRPr="00DA440C">
        <w:rPr>
          <w:rFonts w:ascii="Times New Roman" w:hAnsi="Times New Roman"/>
          <w:bCs/>
          <w:iCs/>
          <w:szCs w:val="24"/>
        </w:rPr>
        <w:t>turnaj malého rozsahu (§ 64 zákona o hazardu)</w:t>
      </w:r>
    </w:p>
    <w:p w:rsidR="00A92C85" w:rsidRDefault="00A92C85" w:rsidP="00A92C85">
      <w:pPr>
        <w:jc w:val="both"/>
        <w:rPr>
          <w:rFonts w:ascii="Times New Roman" w:hAnsi="Times New Roman"/>
          <w:b/>
          <w:bCs/>
          <w:iCs/>
          <w:szCs w:val="24"/>
        </w:rPr>
      </w:pPr>
    </w:p>
    <w:p w:rsidR="00A92C85" w:rsidRPr="00DA440C" w:rsidRDefault="00A92C85" w:rsidP="00A92C85">
      <w:pPr>
        <w:jc w:val="both"/>
        <w:rPr>
          <w:rFonts w:ascii="Times New Roman" w:hAnsi="Times New Roman"/>
          <w:bCs/>
          <w:iCs/>
          <w:szCs w:val="24"/>
        </w:rPr>
      </w:pPr>
      <w:r w:rsidRPr="00DA440C">
        <w:rPr>
          <w:rFonts w:ascii="Times New Roman" w:hAnsi="Times New Roman"/>
          <w:bCs/>
          <w:iCs/>
          <w:szCs w:val="24"/>
        </w:rPr>
        <w:t>Z těchto druhů hazardních her</w:t>
      </w:r>
      <w:r>
        <w:rPr>
          <w:rFonts w:ascii="Times New Roman" w:hAnsi="Times New Roman"/>
          <w:bCs/>
          <w:iCs/>
          <w:szCs w:val="24"/>
        </w:rPr>
        <w:t xml:space="preserve"> je bingo, technickou hru a živou hru možné provozovat pouze v herním prostoru (herna či kasino). Turnaj malého rozsahu je možné provozovat i jinde. Vzhledem k možnému provozování turnaje malého rozsahu na libovolném místě a vzhledem značnému omezení vkladů v tomto turnaji, kdy vklad jednoho účastníka nesmí převýšit 500,- Kč za 24 hodin, navrhujeme turnaj malého rozsahu z regulace hazardních her obecně závaznou vyhláškou vypustit. Regulace provedená obecně závaznou vyhláškou by se tak vztahovala pouze na bingo, technickou hru a živou hru.</w:t>
      </w:r>
    </w:p>
    <w:p w:rsidR="00A92C85" w:rsidRDefault="00A92C85" w:rsidP="00A92C85">
      <w:pPr>
        <w:ind w:left="720"/>
        <w:jc w:val="both"/>
        <w:rPr>
          <w:rFonts w:ascii="Times New Roman" w:hAnsi="Times New Roman"/>
          <w:b/>
          <w:bCs/>
          <w:iCs/>
          <w:szCs w:val="24"/>
        </w:rPr>
      </w:pPr>
    </w:p>
    <w:p w:rsidR="00A92C85" w:rsidRDefault="00A92C85" w:rsidP="00A92C85">
      <w:pPr>
        <w:numPr>
          <w:ilvl w:val="0"/>
          <w:numId w:val="41"/>
        </w:numPr>
        <w:jc w:val="both"/>
        <w:rPr>
          <w:rFonts w:ascii="Times New Roman" w:hAnsi="Times New Roman"/>
          <w:b/>
          <w:bCs/>
          <w:iCs/>
          <w:szCs w:val="24"/>
        </w:rPr>
      </w:pPr>
      <w:r>
        <w:rPr>
          <w:rFonts w:ascii="Times New Roman" w:hAnsi="Times New Roman"/>
          <w:b/>
          <w:bCs/>
          <w:iCs/>
          <w:szCs w:val="24"/>
        </w:rPr>
        <w:t>návrh regulace míst provozoven hazardních her</w:t>
      </w:r>
    </w:p>
    <w:p w:rsidR="00A92C85" w:rsidRPr="00C857EB" w:rsidRDefault="00A92C85" w:rsidP="00A92C85">
      <w:pPr>
        <w:jc w:val="both"/>
        <w:rPr>
          <w:rFonts w:ascii="Times New Roman" w:hAnsi="Times New Roman"/>
          <w:szCs w:val="24"/>
        </w:rPr>
      </w:pPr>
      <w:r w:rsidRPr="00C857EB">
        <w:rPr>
          <w:rFonts w:ascii="Times New Roman" w:hAnsi="Times New Roman"/>
          <w:bCs/>
          <w:iCs/>
          <w:szCs w:val="24"/>
        </w:rPr>
        <w:t xml:space="preserve">Dosavadní způsob regulace míst provozoven pozitivním výčtem adresních míst, na kterých je možné umístit provozovnu herního prostoru, doporučuje zachovat i nadále. Výběr míst provozoven musí být zvolen </w:t>
      </w:r>
      <w:r w:rsidRPr="00C857EB">
        <w:rPr>
          <w:rFonts w:ascii="Times New Roman" w:hAnsi="Times New Roman"/>
          <w:szCs w:val="24"/>
        </w:rPr>
        <w:t xml:space="preserve">způsobem nediskriminačním, neutrálním, opírajícím se o racionální důvody a musí splňovat podmínky stanovené výše. </w:t>
      </w:r>
    </w:p>
    <w:p w:rsidR="00A92C85" w:rsidRPr="00C857EB" w:rsidRDefault="00A92C85" w:rsidP="00A92C85">
      <w:pPr>
        <w:jc w:val="both"/>
        <w:rPr>
          <w:rFonts w:ascii="Times New Roman" w:hAnsi="Times New Roman"/>
          <w:szCs w:val="24"/>
        </w:rPr>
      </w:pPr>
    </w:p>
    <w:tbl>
      <w:tblPr>
        <w:tblW w:w="9572"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211"/>
        <w:gridCol w:w="361"/>
      </w:tblGrid>
      <w:tr w:rsidR="00A92C85" w:rsidRPr="00C857EB" w:rsidTr="00E02C75">
        <w:trPr>
          <w:trHeight w:val="764"/>
        </w:trPr>
        <w:tc>
          <w:tcPr>
            <w:tcW w:w="9211" w:type="dxa"/>
            <w:tcBorders>
              <w:top w:val="nil"/>
              <w:left w:val="nil"/>
              <w:bottom w:val="nil"/>
              <w:right w:val="nil"/>
            </w:tcBorders>
          </w:tcPr>
          <w:p w:rsidR="00A92C85" w:rsidRPr="00AD4F17" w:rsidRDefault="00A92C85" w:rsidP="00E02C75">
            <w:pPr>
              <w:autoSpaceDE w:val="0"/>
              <w:autoSpaceDN w:val="0"/>
              <w:adjustRightInd w:val="0"/>
              <w:jc w:val="both"/>
              <w:rPr>
                <w:rFonts w:ascii="Times New Roman" w:eastAsia="Calibri" w:hAnsi="Times New Roman"/>
                <w:color w:val="000000"/>
                <w:szCs w:val="24"/>
                <w:lang w:eastAsia="en-US"/>
              </w:rPr>
            </w:pPr>
            <w:r w:rsidRPr="00AD4F17">
              <w:rPr>
                <w:rFonts w:ascii="Times New Roman" w:eastAsia="Calibri" w:hAnsi="Times New Roman"/>
                <w:color w:val="000000"/>
                <w:szCs w:val="24"/>
                <w:lang w:eastAsia="en-US"/>
              </w:rPr>
              <w:t xml:space="preserve">Zvolený počet 76 provozoven stanovený OZV č. 2/2012 loterií považujeme, s přihlédnutím k počtu obyvatel města Prostějova a k jeho rozloze za dostatečný pro fungující lokální trh a za nediskriminační. Toto tvrzení se potvrdilo i v praxi tím, že po téměř pěti letech </w:t>
            </w:r>
            <w:r>
              <w:rPr>
                <w:rFonts w:ascii="Times New Roman" w:eastAsia="Calibri" w:hAnsi="Times New Roman"/>
                <w:color w:val="000000"/>
                <w:szCs w:val="24"/>
                <w:lang w:eastAsia="en-US"/>
              </w:rPr>
              <w:t>32</w:t>
            </w:r>
            <w:r w:rsidRPr="00AD4F17">
              <w:rPr>
                <w:rFonts w:ascii="Times New Roman" w:eastAsia="Calibri" w:hAnsi="Times New Roman"/>
                <w:color w:val="000000"/>
                <w:szCs w:val="24"/>
                <w:lang w:eastAsia="en-US"/>
              </w:rPr>
              <w:t xml:space="preserve"> provozoven přestalo VHP či JHTZ provozovat.  Statutární město Prostějov rovněž OZV č. 2/2012 neupřednostnilo provozovny žádného konkrétního provozovatele loterií, čímž nedošlo a nemohlo tak dojít k žádné diskriminaci provozovatelů, kteří tu činnosti v době nabytí účinnosti vyhlášky vykonávali. </w:t>
            </w:r>
          </w:p>
          <w:p w:rsidR="00A92C85" w:rsidRPr="00AD4F17" w:rsidRDefault="00A92C85" w:rsidP="00E02C75">
            <w:pPr>
              <w:autoSpaceDE w:val="0"/>
              <w:autoSpaceDN w:val="0"/>
              <w:adjustRightInd w:val="0"/>
              <w:jc w:val="both"/>
              <w:rPr>
                <w:rFonts w:ascii="Times New Roman" w:eastAsia="Calibri" w:hAnsi="Times New Roman"/>
                <w:color w:val="000000"/>
                <w:szCs w:val="24"/>
                <w:lang w:eastAsia="en-US"/>
              </w:rPr>
            </w:pPr>
          </w:p>
          <w:p w:rsidR="00A92C85" w:rsidRPr="00AD4F17" w:rsidRDefault="00A92C85" w:rsidP="00E02C75">
            <w:pPr>
              <w:autoSpaceDE w:val="0"/>
              <w:autoSpaceDN w:val="0"/>
              <w:adjustRightInd w:val="0"/>
              <w:jc w:val="both"/>
              <w:rPr>
                <w:rFonts w:ascii="Times New Roman" w:eastAsia="Calibri" w:hAnsi="Times New Roman"/>
                <w:color w:val="000000"/>
                <w:szCs w:val="24"/>
                <w:lang w:eastAsia="en-US"/>
              </w:rPr>
            </w:pPr>
            <w:r w:rsidRPr="00AD4F17">
              <w:rPr>
                <w:rFonts w:ascii="Times New Roman" w:eastAsia="Calibri" w:hAnsi="Times New Roman"/>
                <w:color w:val="000000"/>
                <w:szCs w:val="24"/>
                <w:lang w:eastAsia="en-US"/>
              </w:rPr>
              <w:t xml:space="preserve">Co se týče provozovatelů (soutěžitelů), kteří na trh plánovali vstoupit, tak tito měli a mají možnost vstoupit na trh i nadále, a to různými způsoby, které právní předpisy občanského, obchodního a živnostenského práva umožňují, včetně převzetí provozovny na některém ze 76 povolených míst. </w:t>
            </w:r>
          </w:p>
        </w:tc>
        <w:tc>
          <w:tcPr>
            <w:tcW w:w="361" w:type="dxa"/>
          </w:tcPr>
          <w:p w:rsidR="00A92C85" w:rsidRPr="00C857EB" w:rsidRDefault="00A92C85" w:rsidP="00E02C75">
            <w:pPr>
              <w:rPr>
                <w:szCs w:val="24"/>
              </w:rPr>
            </w:pPr>
            <w:r w:rsidRPr="00C857EB">
              <w:rPr>
                <w:szCs w:val="24"/>
              </w:rPr>
              <w:t xml:space="preserve"> </w:t>
            </w:r>
          </w:p>
        </w:tc>
      </w:tr>
    </w:tbl>
    <w:p w:rsidR="00A92C85" w:rsidRDefault="00A92C85" w:rsidP="00A92C85">
      <w:pPr>
        <w:jc w:val="both"/>
        <w:rPr>
          <w:rFonts w:ascii="Times New Roman" w:hAnsi="Times New Roman"/>
          <w:szCs w:val="24"/>
        </w:rPr>
      </w:pPr>
    </w:p>
    <w:p w:rsidR="00A92C85" w:rsidRDefault="00A92C85" w:rsidP="00A92C85">
      <w:pPr>
        <w:jc w:val="both"/>
        <w:rPr>
          <w:rFonts w:ascii="Times New Roman" w:hAnsi="Times New Roman"/>
          <w:szCs w:val="24"/>
        </w:rPr>
      </w:pPr>
      <w:r>
        <w:rPr>
          <w:rFonts w:ascii="Times New Roman" w:hAnsi="Times New Roman"/>
          <w:szCs w:val="24"/>
        </w:rPr>
        <w:t xml:space="preserve">V souladu s usnesením Rady č. 61136 a s reálným stavem doporučujeme ve výčtu zachovat stávajících 44 adresních míst provozoven, které splňují uvedené podmínky vhodného umístění provozovny a na kterých je ke dni 19.5.2017 povolen provoz alespoň jednoho VHP nebo jednoho JTHZ. </w:t>
      </w:r>
    </w:p>
    <w:p w:rsidR="00A92C85" w:rsidRDefault="00A92C85" w:rsidP="00A92C85">
      <w:pPr>
        <w:jc w:val="both"/>
        <w:rPr>
          <w:rFonts w:ascii="Times New Roman" w:hAnsi="Times New Roman"/>
          <w:szCs w:val="24"/>
        </w:rPr>
      </w:pPr>
    </w:p>
    <w:p w:rsidR="00A92C85" w:rsidRDefault="00A92C85" w:rsidP="00A92C85">
      <w:pPr>
        <w:jc w:val="both"/>
        <w:rPr>
          <w:rFonts w:ascii="Times New Roman" w:eastAsia="Calibri" w:hAnsi="Times New Roman"/>
          <w:szCs w:val="24"/>
        </w:rPr>
      </w:pPr>
      <w:r w:rsidRPr="00E36386">
        <w:rPr>
          <w:rFonts w:ascii="Times New Roman" w:hAnsi="Times New Roman"/>
          <w:szCs w:val="24"/>
        </w:rPr>
        <w:t>Aby nedošlo k možné diskriminaci soutěžitelů, kteří se na místní trh provozování hazardních her teprve vstoupit chystají, je tento seznam doplněn o 6 provozoven, na kterých se v minulosti provozovna sázkov</w:t>
      </w:r>
      <w:r>
        <w:rPr>
          <w:rFonts w:ascii="Times New Roman" w:hAnsi="Times New Roman"/>
          <w:szCs w:val="24"/>
        </w:rPr>
        <w:t>é hry, loterie a jiné podobné hry</w:t>
      </w:r>
      <w:r w:rsidRPr="00E36386">
        <w:rPr>
          <w:rFonts w:ascii="Times New Roman" w:hAnsi="Times New Roman"/>
          <w:szCs w:val="24"/>
        </w:rPr>
        <w:t xml:space="preserve"> </w:t>
      </w:r>
      <w:r>
        <w:rPr>
          <w:rFonts w:ascii="Times New Roman" w:hAnsi="Times New Roman"/>
          <w:szCs w:val="24"/>
        </w:rPr>
        <w:t>nacházela</w:t>
      </w:r>
      <w:r w:rsidRPr="00E36386">
        <w:rPr>
          <w:rFonts w:ascii="Times New Roman" w:hAnsi="Times New Roman"/>
          <w:szCs w:val="24"/>
        </w:rPr>
        <w:t xml:space="preserve">, ale </w:t>
      </w:r>
      <w:r>
        <w:rPr>
          <w:rFonts w:ascii="Times New Roman" w:hAnsi="Times New Roman"/>
          <w:szCs w:val="24"/>
        </w:rPr>
        <w:t xml:space="preserve">v současné době na této provozovně není nejen povolen, žádný VHP  nebo JTHZ, ale ani se zde podle místního šetření provedeného k 30. 3. 2017 nenachází </w:t>
      </w:r>
      <w:r>
        <w:rPr>
          <w:rFonts w:ascii="Times New Roman" w:eastAsia="Calibri" w:hAnsi="Times New Roman"/>
          <w:szCs w:val="24"/>
        </w:rPr>
        <w:t xml:space="preserve">jiná živnostenská provozovna, či jiná podnikatelská činnost. Tyto provozovny jsou uvedeny v příloze č. 1 návrhu obecně závazné vyhlášky na posledních šesti místech. </w:t>
      </w:r>
    </w:p>
    <w:p w:rsidR="00A92C85" w:rsidRDefault="00A92C85" w:rsidP="00A92C85">
      <w:pPr>
        <w:jc w:val="both"/>
        <w:rPr>
          <w:rFonts w:ascii="Times New Roman" w:eastAsia="Calibri" w:hAnsi="Times New Roman"/>
          <w:szCs w:val="24"/>
        </w:rPr>
      </w:pPr>
    </w:p>
    <w:p w:rsidR="00A92C85" w:rsidRPr="00E36386" w:rsidRDefault="00A92C85" w:rsidP="00A92C85">
      <w:pPr>
        <w:jc w:val="both"/>
        <w:rPr>
          <w:rFonts w:ascii="Times New Roman" w:hAnsi="Times New Roman"/>
          <w:szCs w:val="24"/>
        </w:rPr>
      </w:pPr>
      <w:r>
        <w:rPr>
          <w:rFonts w:ascii="Times New Roman" w:hAnsi="Times New Roman"/>
          <w:szCs w:val="24"/>
        </w:rPr>
        <w:t xml:space="preserve">V souvislosti s novými povinnosti stanovenými pro provozovatele hazardních her je zde důvodné očekávání, že se počet provozoven hazardních her působením trhu sníží, neboť někteří provozovatelé nebudou moci finančně zajistit splnění povinností daných zákonem. </w:t>
      </w:r>
    </w:p>
    <w:p w:rsidR="00A92C85" w:rsidRPr="00A57D8A" w:rsidRDefault="00A92C85" w:rsidP="00A92C85">
      <w:pPr>
        <w:jc w:val="both"/>
        <w:rPr>
          <w:rFonts w:ascii="Calibri" w:hAnsi="Calibri"/>
          <w:szCs w:val="24"/>
        </w:rPr>
      </w:pPr>
    </w:p>
    <w:p w:rsidR="00A92C85" w:rsidRDefault="00A92C85" w:rsidP="00A92C85">
      <w:pPr>
        <w:numPr>
          <w:ilvl w:val="0"/>
          <w:numId w:val="41"/>
        </w:numPr>
        <w:jc w:val="both"/>
        <w:rPr>
          <w:rFonts w:ascii="Times New Roman" w:hAnsi="Times New Roman"/>
          <w:b/>
          <w:bCs/>
          <w:iCs/>
          <w:szCs w:val="24"/>
        </w:rPr>
      </w:pPr>
      <w:r>
        <w:rPr>
          <w:rFonts w:ascii="Times New Roman" w:hAnsi="Times New Roman"/>
          <w:b/>
          <w:bCs/>
          <w:iCs/>
          <w:szCs w:val="24"/>
        </w:rPr>
        <w:t>návrh regulace času provozování hazardních her</w:t>
      </w:r>
    </w:p>
    <w:p w:rsidR="00A92C85" w:rsidRPr="00B32343" w:rsidRDefault="00A92C85" w:rsidP="00A92C85">
      <w:pPr>
        <w:jc w:val="both"/>
        <w:rPr>
          <w:rFonts w:ascii="Times New Roman" w:hAnsi="Times New Roman"/>
          <w:bCs/>
          <w:iCs/>
          <w:szCs w:val="24"/>
        </w:rPr>
      </w:pPr>
      <w:r w:rsidRPr="00B32343">
        <w:rPr>
          <w:rFonts w:ascii="Times New Roman" w:hAnsi="Times New Roman"/>
          <w:bCs/>
          <w:iCs/>
          <w:szCs w:val="24"/>
        </w:rPr>
        <w:t>V souladu s </w:t>
      </w:r>
      <w:proofErr w:type="spellStart"/>
      <w:r w:rsidRPr="00B32343">
        <w:rPr>
          <w:rFonts w:ascii="Times New Roman" w:hAnsi="Times New Roman"/>
          <w:bCs/>
          <w:iCs/>
          <w:szCs w:val="24"/>
        </w:rPr>
        <w:t>ust</w:t>
      </w:r>
      <w:proofErr w:type="spellEnd"/>
      <w:r w:rsidRPr="00B32343">
        <w:rPr>
          <w:rFonts w:ascii="Times New Roman" w:hAnsi="Times New Roman"/>
          <w:bCs/>
          <w:iCs/>
          <w:szCs w:val="24"/>
        </w:rPr>
        <w:t xml:space="preserve">. </w:t>
      </w:r>
      <w:r>
        <w:rPr>
          <w:rFonts w:ascii="Times New Roman" w:hAnsi="Times New Roman"/>
          <w:bCs/>
          <w:iCs/>
          <w:szCs w:val="24"/>
        </w:rPr>
        <w:t xml:space="preserve">§ 67 odst. 3 zákona o hazardu nesmí být herna v provozu od 3:00 do 10:00 hodin. Obecně závaznou vyhláškou lze časové období rozšířit (nikoliv zúžit), avšak musí jít o regulaci přiměřenou místním podmínkám. Zákonem stanovenou dobu v současné době rozšířit nedoporučujeme.  </w:t>
      </w:r>
    </w:p>
    <w:p w:rsidR="00A92C85" w:rsidRDefault="00A92C85" w:rsidP="00A92C85">
      <w:pPr>
        <w:jc w:val="both"/>
        <w:rPr>
          <w:rFonts w:ascii="Times New Roman" w:hAnsi="Times New Roman"/>
          <w:bCs/>
          <w:iCs/>
          <w:szCs w:val="24"/>
        </w:rPr>
      </w:pPr>
    </w:p>
    <w:p w:rsidR="00A92C85" w:rsidRDefault="00A92C85" w:rsidP="00A92C85">
      <w:pPr>
        <w:jc w:val="both"/>
        <w:rPr>
          <w:rFonts w:ascii="Times New Roman" w:hAnsi="Times New Roman"/>
          <w:bCs/>
          <w:iCs/>
          <w:szCs w:val="24"/>
        </w:rPr>
      </w:pPr>
    </w:p>
    <w:p w:rsidR="00A92C85" w:rsidRPr="00B85056" w:rsidRDefault="00A92C85" w:rsidP="00A92C85">
      <w:pPr>
        <w:jc w:val="both"/>
        <w:rPr>
          <w:rFonts w:ascii="Times New Roman" w:hAnsi="Times New Roman"/>
          <w:bCs/>
          <w:iCs/>
          <w:szCs w:val="24"/>
        </w:rPr>
      </w:pPr>
      <w:r>
        <w:rPr>
          <w:rFonts w:ascii="Times New Roman" w:hAnsi="Times New Roman"/>
          <w:bCs/>
          <w:iCs/>
          <w:szCs w:val="24"/>
        </w:rPr>
        <w:t xml:space="preserve">Ve srovnání s OZV č. 2/2012 nedojde k vyřazení adresních míst, na kterých je v současné době povolen </w:t>
      </w:r>
      <w:r>
        <w:rPr>
          <w:rFonts w:ascii="Times New Roman" w:hAnsi="Times New Roman"/>
          <w:szCs w:val="24"/>
        </w:rPr>
        <w:t>VHP  nebo JTHZ</w:t>
      </w:r>
      <w:r>
        <w:rPr>
          <w:rFonts w:ascii="Times New Roman" w:hAnsi="Times New Roman"/>
          <w:bCs/>
          <w:iCs/>
          <w:szCs w:val="24"/>
        </w:rPr>
        <w:t xml:space="preserve">. Z toho důvodu není třeba, aby obecně závazná vyhláška obsahovala přechodná ustanovení. </w:t>
      </w: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Pr="00F03030" w:rsidRDefault="00A92C85" w:rsidP="00A92C85">
      <w:pPr>
        <w:jc w:val="both"/>
        <w:rPr>
          <w:rFonts w:ascii="Times New Roman" w:hAnsi="Times New Roman"/>
          <w:bCs/>
          <w:i/>
          <w:iCs/>
          <w:szCs w:val="24"/>
        </w:rPr>
      </w:pP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r>
        <w:rPr>
          <w:rFonts w:ascii="Times New Roman" w:hAnsi="Times New Roman"/>
          <w:b/>
          <w:bCs/>
          <w:i/>
          <w:iCs/>
          <w:szCs w:val="24"/>
        </w:rPr>
        <w:tab/>
      </w: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jc w:val="both"/>
        <w:rPr>
          <w:rFonts w:ascii="Times New Roman" w:hAnsi="Times New Roman"/>
          <w:b/>
          <w:bCs/>
          <w:i/>
          <w:iCs/>
          <w:szCs w:val="24"/>
        </w:rPr>
      </w:pPr>
    </w:p>
    <w:p w:rsidR="00A92C85" w:rsidRDefault="00A92C85" w:rsidP="00A92C85">
      <w:pPr>
        <w:rPr>
          <w:rFonts w:ascii="Times New Roman" w:hAnsi="Times New Roman"/>
          <w:i/>
          <w:szCs w:val="24"/>
        </w:rPr>
      </w:pPr>
    </w:p>
    <w:p w:rsidR="00A92C85" w:rsidRDefault="00A92C85" w:rsidP="00A92C85">
      <w:pPr>
        <w:rPr>
          <w:rFonts w:ascii="Times New Roman" w:hAnsi="Times New Roman"/>
          <w:i/>
          <w:szCs w:val="24"/>
        </w:rPr>
      </w:pPr>
    </w:p>
    <w:p w:rsidR="00A92C85" w:rsidRDefault="00A92C85" w:rsidP="00A92C85">
      <w:pPr>
        <w:rPr>
          <w:rFonts w:ascii="Times New Roman" w:hAnsi="Times New Roman"/>
          <w:i/>
          <w:szCs w:val="24"/>
        </w:rPr>
      </w:pPr>
    </w:p>
    <w:p w:rsidR="00A92C85" w:rsidRDefault="00A92C85" w:rsidP="00A92C85">
      <w:pPr>
        <w:rPr>
          <w:rFonts w:ascii="Times New Roman" w:hAnsi="Times New Roman"/>
          <w:i/>
          <w:szCs w:val="24"/>
        </w:rPr>
      </w:pPr>
    </w:p>
    <w:p w:rsidR="00A92C85" w:rsidRDefault="00A92C85" w:rsidP="00A92C85">
      <w:pPr>
        <w:rPr>
          <w:rFonts w:ascii="Times New Roman" w:hAnsi="Times New Roman"/>
          <w:i/>
          <w:szCs w:val="24"/>
        </w:rPr>
      </w:pPr>
    </w:p>
    <w:p w:rsidR="00A92C85" w:rsidRDefault="00A92C85" w:rsidP="00A92C85">
      <w:pPr>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p>
    <w:p w:rsidR="00A92C85" w:rsidRDefault="00A92C85" w:rsidP="00A92C85">
      <w:pPr>
        <w:rPr>
          <w:rFonts w:ascii="Times New Roman" w:hAnsi="Times New Roman"/>
          <w:i/>
          <w:sz w:val="22"/>
          <w:szCs w:val="22"/>
        </w:rPr>
      </w:pPr>
      <w:r>
        <w:rPr>
          <w:rFonts w:ascii="Times New Roman" w:hAnsi="Times New Roman"/>
          <w:i/>
          <w:sz w:val="22"/>
          <w:szCs w:val="22"/>
        </w:rPr>
        <w:t xml:space="preserve">                                                                                                                           Příloha č.3 </w:t>
      </w:r>
      <w:r>
        <w:rPr>
          <w:rFonts w:ascii="Times New Roman" w:hAnsi="Times New Roman"/>
          <w:i/>
          <w:noProof/>
          <w:szCs w:val="24"/>
        </w:rPr>
        <w:drawing>
          <wp:inline distT="0" distB="0" distL="0" distR="0">
            <wp:extent cx="5881370" cy="7856220"/>
            <wp:effectExtent l="0" t="0" r="508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1370" cy="7856220"/>
                    </a:xfrm>
                    <a:prstGeom prst="rect">
                      <a:avLst/>
                    </a:prstGeom>
                    <a:noFill/>
                    <a:ln>
                      <a:noFill/>
                    </a:ln>
                  </pic:spPr>
                </pic:pic>
              </a:graphicData>
            </a:graphic>
          </wp:inline>
        </w:drawing>
      </w:r>
    </w:p>
    <w:p w:rsidR="00A92C85" w:rsidRDefault="00A92C85" w:rsidP="00A92C85">
      <w:pPr>
        <w:rPr>
          <w:rFonts w:ascii="Times New Roman" w:hAnsi="Times New Roman"/>
          <w:i/>
          <w:szCs w:val="24"/>
        </w:rPr>
      </w:pPr>
      <w:r>
        <w:rPr>
          <w:rFonts w:ascii="Times New Roman" w:hAnsi="Times New Roman"/>
          <w:i/>
          <w:noProof/>
          <w:szCs w:val="24"/>
        </w:rPr>
        <w:drawing>
          <wp:inline distT="0" distB="0" distL="0" distR="0">
            <wp:extent cx="5706110" cy="8522335"/>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6110" cy="8522335"/>
                    </a:xfrm>
                    <a:prstGeom prst="rect">
                      <a:avLst/>
                    </a:prstGeom>
                    <a:noFill/>
                    <a:ln>
                      <a:noFill/>
                    </a:ln>
                  </pic:spPr>
                </pic:pic>
              </a:graphicData>
            </a:graphic>
          </wp:inline>
        </w:drawing>
      </w:r>
    </w:p>
    <w:p w:rsidR="00A92C85" w:rsidRDefault="00A92C85" w:rsidP="00A92C85">
      <w:pPr>
        <w:rPr>
          <w:rFonts w:ascii="Times New Roman" w:hAnsi="Times New Roman"/>
          <w:i/>
          <w:szCs w:val="24"/>
        </w:rPr>
      </w:pPr>
      <w:r>
        <w:rPr>
          <w:rFonts w:ascii="Times New Roman" w:hAnsi="Times New Roman"/>
          <w:i/>
          <w:noProof/>
          <w:szCs w:val="24"/>
        </w:rPr>
        <w:drawing>
          <wp:inline distT="0" distB="0" distL="0" distR="0">
            <wp:extent cx="5749925" cy="8485505"/>
            <wp:effectExtent l="0" t="0" r="317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925" cy="8485505"/>
                    </a:xfrm>
                    <a:prstGeom prst="rect">
                      <a:avLst/>
                    </a:prstGeom>
                    <a:noFill/>
                    <a:ln>
                      <a:noFill/>
                    </a:ln>
                  </pic:spPr>
                </pic:pic>
              </a:graphicData>
            </a:graphic>
          </wp:inline>
        </w:drawing>
      </w:r>
    </w:p>
    <w:p w:rsidR="00976514" w:rsidRDefault="00A92C85" w:rsidP="00A92C85">
      <w:pPr>
        <w:pStyle w:val="PVNormal"/>
        <w:rPr>
          <w:rStyle w:val="Psmoodstavce"/>
          <w:rFonts w:ascii="Times New Roman" w:hAnsi="Times New Roman"/>
        </w:rPr>
      </w:pP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r>
        <w:rPr>
          <w:rStyle w:val="Psmoodstavce"/>
          <w:rFonts w:ascii="Times New Roman" w:hAnsi="Times New Roman"/>
        </w:rPr>
        <w:tab/>
      </w:r>
    </w:p>
    <w:p w:rsidR="00976514" w:rsidRDefault="00976514" w:rsidP="00A92C85">
      <w:pPr>
        <w:pStyle w:val="PVNormal"/>
        <w:rPr>
          <w:rStyle w:val="Psmoodstavce"/>
          <w:rFonts w:ascii="Times New Roman" w:hAnsi="Times New Roman"/>
        </w:rPr>
      </w:pPr>
    </w:p>
    <w:p w:rsidR="00A92C85" w:rsidRDefault="00A92C85" w:rsidP="00976514">
      <w:pPr>
        <w:pStyle w:val="PVNormal"/>
        <w:ind w:left="6372" w:firstLine="708"/>
        <w:rPr>
          <w:rStyle w:val="Psmoodstavce"/>
          <w:rFonts w:ascii="Times New Roman" w:hAnsi="Times New Roman"/>
          <w:i/>
          <w:sz w:val="22"/>
          <w:szCs w:val="22"/>
        </w:rPr>
      </w:pPr>
      <w:r w:rsidRPr="00654B00">
        <w:rPr>
          <w:rStyle w:val="Psmoodstavce"/>
          <w:rFonts w:ascii="Times New Roman" w:hAnsi="Times New Roman"/>
          <w:i/>
          <w:sz w:val="22"/>
          <w:szCs w:val="22"/>
        </w:rPr>
        <w:t>Příloha č. 4</w:t>
      </w: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661660" cy="80467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1660" cy="8046720"/>
                    </a:xfrm>
                    <a:prstGeom prst="rect">
                      <a:avLst/>
                    </a:prstGeom>
                    <a:noFill/>
                    <a:ln>
                      <a:noFill/>
                    </a:ln>
                  </pic:spPr>
                </pic:pic>
              </a:graphicData>
            </a:graphic>
          </wp:inline>
        </w:drawing>
      </w: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230495" cy="8514715"/>
            <wp:effectExtent l="0" t="0" r="8255"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0495" cy="8514715"/>
                    </a:xfrm>
                    <a:prstGeom prst="rect">
                      <a:avLst/>
                    </a:prstGeom>
                    <a:noFill/>
                    <a:ln>
                      <a:noFill/>
                    </a:ln>
                  </pic:spPr>
                </pic:pic>
              </a:graphicData>
            </a:graphic>
          </wp:inline>
        </w:drawing>
      </w:r>
    </w:p>
    <w:p w:rsidR="00A92C85" w:rsidRDefault="00A92C85" w:rsidP="00A92C85">
      <w:pPr>
        <w:rPr>
          <w:rFonts w:ascii="Times New Roman" w:hAnsi="Times New Roman"/>
          <w:b/>
          <w:i/>
          <w:sz w:val="22"/>
          <w:szCs w:val="22"/>
        </w:rPr>
      </w:pPr>
      <w:r>
        <w:rPr>
          <w:rFonts w:ascii="Times New Roman" w:hAnsi="Times New Roman"/>
          <w:b/>
          <w:i/>
          <w:noProof/>
          <w:sz w:val="22"/>
          <w:szCs w:val="22"/>
        </w:rPr>
        <w:drawing>
          <wp:inline distT="0" distB="0" distL="0" distR="0">
            <wp:extent cx="5749925" cy="8529320"/>
            <wp:effectExtent l="0" t="0" r="3175"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8529320"/>
                    </a:xfrm>
                    <a:prstGeom prst="rect">
                      <a:avLst/>
                    </a:prstGeom>
                    <a:noFill/>
                    <a:ln>
                      <a:noFill/>
                    </a:ln>
                  </pic:spPr>
                </pic:pic>
              </a:graphicData>
            </a:graphic>
          </wp:inline>
        </w:drawing>
      </w:r>
    </w:p>
    <w:p w:rsidR="00B32482" w:rsidRDefault="00A92C85" w:rsidP="00A92C85">
      <w:pPr>
        <w:rPr>
          <w:rFonts w:ascii="Times New Roman" w:hAnsi="Times New Roman"/>
          <w:b/>
          <w:i/>
          <w:sz w:val="22"/>
          <w:szCs w:val="22"/>
        </w:rPr>
      </w:pP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p>
    <w:p w:rsidR="00B32482" w:rsidRDefault="00B32482" w:rsidP="00A92C85">
      <w:pPr>
        <w:rPr>
          <w:rFonts w:ascii="Times New Roman" w:hAnsi="Times New Roman"/>
          <w:b/>
          <w:i/>
          <w:sz w:val="22"/>
          <w:szCs w:val="22"/>
        </w:rPr>
      </w:pPr>
    </w:p>
    <w:p w:rsidR="00A92C85" w:rsidRDefault="00A92C85" w:rsidP="00B32482">
      <w:pPr>
        <w:ind w:left="5664" w:firstLine="708"/>
        <w:rPr>
          <w:rFonts w:ascii="Times New Roman" w:hAnsi="Times New Roman"/>
          <w:i/>
          <w:sz w:val="22"/>
          <w:szCs w:val="22"/>
        </w:rPr>
      </w:pPr>
      <w:r w:rsidRPr="00394802">
        <w:rPr>
          <w:rFonts w:ascii="Times New Roman" w:hAnsi="Times New Roman"/>
          <w:i/>
          <w:sz w:val="22"/>
          <w:szCs w:val="22"/>
        </w:rPr>
        <w:t>Příloha č. 5</w:t>
      </w:r>
    </w:p>
    <w:p w:rsidR="00A92C85" w:rsidRDefault="00A92C85" w:rsidP="00A92C85">
      <w:pPr>
        <w:rPr>
          <w:rFonts w:ascii="Times New Roman" w:hAnsi="Times New Roman"/>
          <w:i/>
          <w:sz w:val="22"/>
          <w:szCs w:val="22"/>
        </w:rPr>
      </w:pP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340350" cy="78054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0" cy="7805420"/>
                    </a:xfrm>
                    <a:prstGeom prst="rect">
                      <a:avLst/>
                    </a:prstGeom>
                    <a:noFill/>
                    <a:ln>
                      <a:noFill/>
                    </a:ln>
                  </pic:spPr>
                </pic:pic>
              </a:graphicData>
            </a:graphic>
          </wp:inline>
        </w:drawing>
      </w:r>
    </w:p>
    <w:p w:rsidR="00A92C85" w:rsidRDefault="00A92C85" w:rsidP="00A92C85">
      <w:pPr>
        <w:rPr>
          <w:rFonts w:ascii="Times New Roman" w:hAnsi="Times New Roman"/>
          <w:i/>
          <w:sz w:val="22"/>
          <w:szCs w:val="22"/>
        </w:rPr>
      </w:pPr>
    </w:p>
    <w:p w:rsidR="00A92C85" w:rsidRDefault="00A92C85" w:rsidP="00A92C85">
      <w:pPr>
        <w:rPr>
          <w:rFonts w:ascii="Times New Roman" w:hAnsi="Times New Roman"/>
          <w:i/>
          <w:sz w:val="22"/>
          <w:szCs w:val="22"/>
        </w:rPr>
      </w:pP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318125" cy="8529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125" cy="8529320"/>
                    </a:xfrm>
                    <a:prstGeom prst="rect">
                      <a:avLst/>
                    </a:prstGeom>
                    <a:noFill/>
                    <a:ln>
                      <a:noFill/>
                    </a:ln>
                  </pic:spPr>
                </pic:pic>
              </a:graphicData>
            </a:graphic>
          </wp:inline>
        </w:drawing>
      </w: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494020" cy="8529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4020" cy="8529320"/>
                    </a:xfrm>
                    <a:prstGeom prst="rect">
                      <a:avLst/>
                    </a:prstGeom>
                    <a:noFill/>
                    <a:ln>
                      <a:noFill/>
                    </a:ln>
                  </pic:spPr>
                </pic:pic>
              </a:graphicData>
            </a:graphic>
          </wp:inline>
        </w:drawing>
      </w: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588635" cy="8529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8529320"/>
                    </a:xfrm>
                    <a:prstGeom prst="rect">
                      <a:avLst/>
                    </a:prstGeom>
                    <a:noFill/>
                    <a:ln>
                      <a:noFill/>
                    </a:ln>
                  </pic:spPr>
                </pic:pic>
              </a:graphicData>
            </a:graphic>
          </wp:inline>
        </w:drawing>
      </w:r>
    </w:p>
    <w:p w:rsidR="00A92C85"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574030" cy="8529320"/>
            <wp:effectExtent l="0" t="0" r="762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030" cy="8529320"/>
                    </a:xfrm>
                    <a:prstGeom prst="rect">
                      <a:avLst/>
                    </a:prstGeom>
                    <a:noFill/>
                    <a:ln>
                      <a:noFill/>
                    </a:ln>
                  </pic:spPr>
                </pic:pic>
              </a:graphicData>
            </a:graphic>
          </wp:inline>
        </w:drawing>
      </w:r>
    </w:p>
    <w:p w:rsidR="00A92C85" w:rsidRPr="00394802" w:rsidRDefault="00A92C85" w:rsidP="00A92C85">
      <w:pPr>
        <w:rPr>
          <w:rFonts w:ascii="Times New Roman" w:hAnsi="Times New Roman"/>
          <w:i/>
          <w:sz w:val="22"/>
          <w:szCs w:val="22"/>
        </w:rPr>
      </w:pPr>
      <w:r>
        <w:rPr>
          <w:rFonts w:ascii="Times New Roman" w:hAnsi="Times New Roman"/>
          <w:i/>
          <w:noProof/>
          <w:sz w:val="22"/>
          <w:szCs w:val="22"/>
        </w:rPr>
        <w:drawing>
          <wp:inline distT="0" distB="0" distL="0" distR="0">
            <wp:extent cx="5691505" cy="8522335"/>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505" cy="8522335"/>
                    </a:xfrm>
                    <a:prstGeom prst="rect">
                      <a:avLst/>
                    </a:prstGeom>
                    <a:noFill/>
                    <a:ln>
                      <a:noFill/>
                    </a:ln>
                  </pic:spPr>
                </pic:pic>
              </a:graphicData>
            </a:graphic>
          </wp:inline>
        </w:drawing>
      </w:r>
    </w:p>
    <w:p w:rsidR="009B458B" w:rsidRPr="00D573F3" w:rsidRDefault="009B458B" w:rsidP="009B458B">
      <w:pPr>
        <w:jc w:val="both"/>
        <w:rPr>
          <w:rFonts w:ascii="Times New Roman" w:hAnsi="Times New Roman"/>
          <w:sz w:val="19"/>
          <w:szCs w:val="19"/>
        </w:rPr>
      </w:pPr>
    </w:p>
    <w:sectPr w:rsidR="009B458B" w:rsidRPr="00D573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DA" w:rsidRDefault="00024FDA" w:rsidP="00D573F3">
      <w:r>
        <w:separator/>
      </w:r>
    </w:p>
  </w:endnote>
  <w:endnote w:type="continuationSeparator" w:id="0">
    <w:p w:rsidR="00024FDA" w:rsidRDefault="00024FDA" w:rsidP="00D5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 Lt AT">
    <w:altName w:val="Corbel"/>
    <w:panose1 w:val="02000403030000020003"/>
    <w:charset w:val="EE"/>
    <w:family w:val="auto"/>
    <w:pitch w:val="variable"/>
    <w:sig w:usb0="00000001" w:usb1="00000000" w:usb2="00000000" w:usb3="00000000" w:csb0="00000003" w:csb1="00000000"/>
  </w:font>
  <w:font w:name="Arial-OneByteIdentityH">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DA" w:rsidRDefault="00024FDA" w:rsidP="00D573F3">
      <w:r>
        <w:separator/>
      </w:r>
    </w:p>
  </w:footnote>
  <w:footnote w:type="continuationSeparator" w:id="0">
    <w:p w:rsidR="00024FDA" w:rsidRDefault="00024FDA" w:rsidP="00D573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4D"/>
    <w:multiLevelType w:val="hybridMultilevel"/>
    <w:tmpl w:val="33A47656"/>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6BD203E"/>
    <w:multiLevelType w:val="hybridMultilevel"/>
    <w:tmpl w:val="69507B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C819B3"/>
    <w:multiLevelType w:val="hybridMultilevel"/>
    <w:tmpl w:val="31A4EB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B5B5769"/>
    <w:multiLevelType w:val="hybridMultilevel"/>
    <w:tmpl w:val="A6AEE79C"/>
    <w:lvl w:ilvl="0" w:tplc="3EA0EF44">
      <w:start w:val="232"/>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C22A86"/>
    <w:multiLevelType w:val="hybridMultilevel"/>
    <w:tmpl w:val="B8AC12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A04E88"/>
    <w:multiLevelType w:val="hybridMultilevel"/>
    <w:tmpl w:val="24A4E8C4"/>
    <w:lvl w:ilvl="0" w:tplc="5FCEE1A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92B29E7"/>
    <w:multiLevelType w:val="hybridMultilevel"/>
    <w:tmpl w:val="B2305F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2FC64D9"/>
    <w:multiLevelType w:val="hybridMultilevel"/>
    <w:tmpl w:val="3C200FC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28916C4E"/>
    <w:multiLevelType w:val="hybridMultilevel"/>
    <w:tmpl w:val="8A88F6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8B30D9E"/>
    <w:multiLevelType w:val="hybridMultilevel"/>
    <w:tmpl w:val="3134F4BE"/>
    <w:lvl w:ilvl="0" w:tplc="E40C51E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F5694F"/>
    <w:multiLevelType w:val="hybridMultilevel"/>
    <w:tmpl w:val="BDA02C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DD16CF9"/>
    <w:multiLevelType w:val="hybridMultilevel"/>
    <w:tmpl w:val="D706A3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463618"/>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51E70B4"/>
    <w:multiLevelType w:val="hybridMultilevel"/>
    <w:tmpl w:val="59D21E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73B0DE9"/>
    <w:multiLevelType w:val="hybridMultilevel"/>
    <w:tmpl w:val="3536A1FC"/>
    <w:lvl w:ilvl="0" w:tplc="14C0756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39000382"/>
    <w:multiLevelType w:val="hybridMultilevel"/>
    <w:tmpl w:val="60E462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9D9728F"/>
    <w:multiLevelType w:val="hybridMultilevel"/>
    <w:tmpl w:val="C0529F3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3A66121E"/>
    <w:multiLevelType w:val="hybridMultilevel"/>
    <w:tmpl w:val="DC9C0BC4"/>
    <w:lvl w:ilvl="0" w:tplc="9DFA2230">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8">
    <w:nsid w:val="3FCF379D"/>
    <w:multiLevelType w:val="hybridMultilevel"/>
    <w:tmpl w:val="81D4010E"/>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9">
    <w:nsid w:val="42CA6F7F"/>
    <w:multiLevelType w:val="hybridMultilevel"/>
    <w:tmpl w:val="E278AE1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43572CEA"/>
    <w:multiLevelType w:val="hybridMultilevel"/>
    <w:tmpl w:val="5D806DF0"/>
    <w:lvl w:ilvl="0" w:tplc="C91CE84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43637D1A"/>
    <w:multiLevelType w:val="hybridMultilevel"/>
    <w:tmpl w:val="45D8BC52"/>
    <w:lvl w:ilvl="0" w:tplc="2D2E9FFE">
      <w:start w:val="1"/>
      <w:numFmt w:val="upperRoman"/>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3E85C43"/>
    <w:multiLevelType w:val="hybridMultilevel"/>
    <w:tmpl w:val="7E5C1340"/>
    <w:lvl w:ilvl="0" w:tplc="14C075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762DE6"/>
    <w:multiLevelType w:val="hybridMultilevel"/>
    <w:tmpl w:val="3DC6464C"/>
    <w:lvl w:ilvl="0" w:tplc="14C075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BC75415"/>
    <w:multiLevelType w:val="hybridMultilevel"/>
    <w:tmpl w:val="02469CA4"/>
    <w:lvl w:ilvl="0" w:tplc="14C075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E2A72DA"/>
    <w:multiLevelType w:val="hybridMultilevel"/>
    <w:tmpl w:val="7D745AD8"/>
    <w:lvl w:ilvl="0" w:tplc="689ED448">
      <w:start w:val="1"/>
      <w:numFmt w:val="decimal"/>
      <w:lvlText w:val="(%1)"/>
      <w:lvlJc w:val="left"/>
      <w:pPr>
        <w:ind w:left="360" w:hanging="360"/>
      </w:pPr>
      <w:rPr>
        <w:rFonts w:ascii="Times New Roman" w:eastAsia="Times New Roman"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500803DF"/>
    <w:multiLevelType w:val="hybridMultilevel"/>
    <w:tmpl w:val="2648F968"/>
    <w:lvl w:ilvl="0" w:tplc="45A42DA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36F74F1"/>
    <w:multiLevelType w:val="hybridMultilevel"/>
    <w:tmpl w:val="7B4A4292"/>
    <w:lvl w:ilvl="0" w:tplc="FF84168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64555C70"/>
    <w:multiLevelType w:val="hybridMultilevel"/>
    <w:tmpl w:val="6DA48FC2"/>
    <w:lvl w:ilvl="0" w:tplc="27E603C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71148D9"/>
    <w:multiLevelType w:val="hybridMultilevel"/>
    <w:tmpl w:val="7DD86C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8AA7F0A"/>
    <w:multiLevelType w:val="hybridMultilevel"/>
    <w:tmpl w:val="A524F7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D8C6BAC"/>
    <w:multiLevelType w:val="hybridMultilevel"/>
    <w:tmpl w:val="ABD211B8"/>
    <w:lvl w:ilvl="0" w:tplc="FDDA5B14">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2">
    <w:nsid w:val="6DFA5173"/>
    <w:multiLevelType w:val="hybridMultilevel"/>
    <w:tmpl w:val="199CC7C6"/>
    <w:lvl w:ilvl="0" w:tplc="14C0756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6E4F221D"/>
    <w:multiLevelType w:val="hybridMultilevel"/>
    <w:tmpl w:val="89ECA7A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FB54607"/>
    <w:multiLevelType w:val="hybridMultilevel"/>
    <w:tmpl w:val="31A4EB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09E2ED8"/>
    <w:multiLevelType w:val="hybridMultilevel"/>
    <w:tmpl w:val="51465550"/>
    <w:lvl w:ilvl="0" w:tplc="F89E653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63778E8"/>
    <w:multiLevelType w:val="hybridMultilevel"/>
    <w:tmpl w:val="33FEEE4E"/>
    <w:lvl w:ilvl="0" w:tplc="60B6B60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6CE0B9D"/>
    <w:multiLevelType w:val="hybridMultilevel"/>
    <w:tmpl w:val="76D8E096"/>
    <w:lvl w:ilvl="0" w:tplc="139832A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94F1FA0"/>
    <w:multiLevelType w:val="hybridMultilevel"/>
    <w:tmpl w:val="15F4738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9"/>
  </w:num>
  <w:num w:numId="2">
    <w:abstractNumId w:val="38"/>
  </w:num>
  <w:num w:numId="3">
    <w:abstractNumId w:val="7"/>
  </w:num>
  <w:num w:numId="4">
    <w:abstractNumId w:val="32"/>
  </w:num>
  <w:num w:numId="5">
    <w:abstractNumId w:val="24"/>
  </w:num>
  <w:num w:numId="6">
    <w:abstractNumId w:val="15"/>
  </w:num>
  <w:num w:numId="7">
    <w:abstractNumId w:val="22"/>
  </w:num>
  <w:num w:numId="8">
    <w:abstractNumId w:val="23"/>
  </w:num>
  <w:num w:numId="9">
    <w:abstractNumId w:val="33"/>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5"/>
  </w:num>
  <w:num w:numId="13">
    <w:abstractNumId w:val="0"/>
  </w:num>
  <w:num w:numId="14">
    <w:abstractNumId w:val="27"/>
  </w:num>
  <w:num w:numId="15">
    <w:abstractNumId w:val="14"/>
  </w:num>
  <w:num w:numId="16">
    <w:abstractNumId w:val="21"/>
  </w:num>
  <w:num w:numId="17">
    <w:abstractNumId w:val="5"/>
  </w:num>
  <w:num w:numId="18">
    <w:abstractNumId w:val="2"/>
  </w:num>
  <w:num w:numId="19">
    <w:abstractNumId w:val="37"/>
  </w:num>
  <w:num w:numId="20">
    <w:abstractNumId w:val="1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9"/>
  </w:num>
  <w:num w:numId="26">
    <w:abstractNumId w:val="1"/>
  </w:num>
  <w:num w:numId="27">
    <w:abstractNumId w:val="20"/>
  </w:num>
  <w:num w:numId="28">
    <w:abstractNumId w:val="26"/>
  </w:num>
  <w:num w:numId="29">
    <w:abstractNumId w:val="13"/>
  </w:num>
  <w:num w:numId="30">
    <w:abstractNumId w:val="28"/>
  </w:num>
  <w:num w:numId="31">
    <w:abstractNumId w:val="17"/>
  </w:num>
  <w:num w:numId="32">
    <w:abstractNumId w:val="8"/>
  </w:num>
  <w:num w:numId="33">
    <w:abstractNumId w:val="3"/>
  </w:num>
  <w:num w:numId="34">
    <w:abstractNumId w:val="31"/>
  </w:num>
  <w:num w:numId="35">
    <w:abstractNumId w:val="9"/>
  </w:num>
  <w:num w:numId="36">
    <w:abstractNumId w:val="25"/>
  </w:num>
  <w:num w:numId="37">
    <w:abstractNumId w:val="36"/>
  </w:num>
  <w:num w:numId="38">
    <w:abstractNumId w:val="4"/>
  </w:num>
  <w:num w:numId="39">
    <w:abstractNumId w:val="10"/>
  </w:num>
  <w:num w:numId="40">
    <w:abstractNumId w:val="6"/>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58B"/>
    <w:rsid w:val="0002329B"/>
    <w:rsid w:val="00024FDA"/>
    <w:rsid w:val="000B6964"/>
    <w:rsid w:val="001263DE"/>
    <w:rsid w:val="00193780"/>
    <w:rsid w:val="001D4735"/>
    <w:rsid w:val="002C6E68"/>
    <w:rsid w:val="00675011"/>
    <w:rsid w:val="007A2E17"/>
    <w:rsid w:val="007B6E40"/>
    <w:rsid w:val="00854556"/>
    <w:rsid w:val="0094400D"/>
    <w:rsid w:val="00976514"/>
    <w:rsid w:val="009B458B"/>
    <w:rsid w:val="009E23BA"/>
    <w:rsid w:val="009E298B"/>
    <w:rsid w:val="00A73448"/>
    <w:rsid w:val="00A92C85"/>
    <w:rsid w:val="00B32482"/>
    <w:rsid w:val="00B812A4"/>
    <w:rsid w:val="00C10624"/>
    <w:rsid w:val="00CC281B"/>
    <w:rsid w:val="00D573F3"/>
    <w:rsid w:val="00DD2CE5"/>
    <w:rsid w:val="00E02C75"/>
    <w:rsid w:val="00E512B1"/>
    <w:rsid w:val="00F1626C"/>
    <w:rsid w:val="00FA1BF6"/>
    <w:rsid w:val="00FB3F4D"/>
    <w:rsid w:val="00FF65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458B"/>
    <w:rPr>
      <w:rFonts w:ascii="Arial" w:eastAsia="Times New Roman" w:hAnsi="Arial" w:cs="Times New Roman"/>
      <w:sz w:val="24"/>
      <w:szCs w:val="20"/>
      <w:lang w:eastAsia="cs-CZ"/>
    </w:rPr>
  </w:style>
  <w:style w:type="paragraph" w:styleId="Nadpis1">
    <w:name w:val="heading 1"/>
    <w:basedOn w:val="Normln"/>
    <w:next w:val="Normln"/>
    <w:link w:val="Nadpis1Char"/>
    <w:qFormat/>
    <w:rsid w:val="00A92C85"/>
    <w:pPr>
      <w:keepNext/>
      <w:jc w:val="both"/>
      <w:outlineLvl w:val="0"/>
    </w:pPr>
    <w:rPr>
      <w:rFonts w:ascii="Times New Roman" w:hAnsi="Times New Roman"/>
      <w:lang w:val="x-none" w:eastAsia="x-none"/>
    </w:rPr>
  </w:style>
  <w:style w:type="paragraph" w:styleId="Nadpis2">
    <w:name w:val="heading 2"/>
    <w:basedOn w:val="Normln"/>
    <w:next w:val="Normln"/>
    <w:link w:val="Nadpis2Char"/>
    <w:uiPriority w:val="9"/>
    <w:semiHidden/>
    <w:unhideWhenUsed/>
    <w:qFormat/>
    <w:rsid w:val="00A92C85"/>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unhideWhenUsed/>
    <w:rsid w:val="009B458B"/>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9B458B"/>
    <w:rPr>
      <w:rFonts w:eastAsia="Times New Roman" w:cs="Times New Roman"/>
      <w:sz w:val="20"/>
      <w:szCs w:val="20"/>
      <w:lang w:eastAsia="cs-CZ"/>
    </w:rPr>
  </w:style>
  <w:style w:type="paragraph" w:styleId="Zkladntext">
    <w:name w:val="Body Text"/>
    <w:basedOn w:val="Normln"/>
    <w:link w:val="ZkladntextChar"/>
    <w:unhideWhenUsed/>
    <w:rsid w:val="009B458B"/>
    <w:pPr>
      <w:spacing w:after="120"/>
    </w:pPr>
  </w:style>
  <w:style w:type="character" w:customStyle="1" w:styleId="ZkladntextChar">
    <w:name w:val="Základní text Char"/>
    <w:basedOn w:val="Standardnpsmoodstavce"/>
    <w:link w:val="Zkladntext"/>
    <w:rsid w:val="009B458B"/>
    <w:rPr>
      <w:rFonts w:ascii="Arial" w:eastAsia="Times New Roman" w:hAnsi="Arial" w:cs="Times New Roman"/>
      <w:sz w:val="24"/>
      <w:szCs w:val="20"/>
      <w:lang w:eastAsia="cs-CZ"/>
    </w:rPr>
  </w:style>
  <w:style w:type="paragraph" w:styleId="Datum">
    <w:name w:val="Date"/>
    <w:basedOn w:val="Normln"/>
    <w:next w:val="Normln"/>
    <w:link w:val="DatumChar"/>
    <w:unhideWhenUsed/>
    <w:rsid w:val="009B458B"/>
  </w:style>
  <w:style w:type="character" w:customStyle="1" w:styleId="DatumChar">
    <w:name w:val="Datum Char"/>
    <w:basedOn w:val="Standardnpsmoodstavce"/>
    <w:link w:val="Datum"/>
    <w:rsid w:val="009B458B"/>
    <w:rPr>
      <w:rFonts w:ascii="Arial" w:eastAsia="Times New Roman" w:hAnsi="Arial" w:cs="Times New Roman"/>
      <w:sz w:val="24"/>
      <w:szCs w:val="20"/>
      <w:lang w:eastAsia="cs-CZ"/>
    </w:rPr>
  </w:style>
  <w:style w:type="paragraph" w:styleId="Bezmezer">
    <w:name w:val="No Spacing"/>
    <w:uiPriority w:val="1"/>
    <w:qFormat/>
    <w:rsid w:val="009B458B"/>
    <w:rPr>
      <w:rFonts w:ascii="Arial" w:eastAsia="Times New Roman" w:hAnsi="Arial" w:cs="Times New Roman"/>
      <w:sz w:val="24"/>
      <w:szCs w:val="20"/>
      <w:lang w:eastAsia="cs-CZ"/>
    </w:rPr>
  </w:style>
  <w:style w:type="paragraph" w:customStyle="1" w:styleId="Zkladntext21">
    <w:name w:val="Základní text 21"/>
    <w:basedOn w:val="Normln"/>
    <w:rsid w:val="009B458B"/>
    <w:pPr>
      <w:jc w:val="both"/>
    </w:pPr>
    <w:rPr>
      <w:rFonts w:ascii="Times New Roman" w:hAnsi="Times New Roman"/>
      <w:sz w:val="20"/>
    </w:rPr>
  </w:style>
  <w:style w:type="character" w:customStyle="1" w:styleId="BodyText3Char">
    <w:name w:val="Body Text 3 Char"/>
    <w:link w:val="Zkladntext31"/>
    <w:locked/>
    <w:rsid w:val="009B458B"/>
    <w:rPr>
      <w:b/>
      <w:lang w:val="x-none" w:eastAsia="x-none"/>
    </w:rPr>
  </w:style>
  <w:style w:type="paragraph" w:customStyle="1" w:styleId="Zkladntext31">
    <w:name w:val="Základní text 31"/>
    <w:basedOn w:val="Normln"/>
    <w:link w:val="BodyText3Char"/>
    <w:rsid w:val="009B458B"/>
    <w:rPr>
      <w:rFonts w:ascii="Times New Roman" w:eastAsiaTheme="minorHAnsi" w:hAnsi="Times New Roman" w:cstheme="minorBidi"/>
      <w:b/>
      <w:sz w:val="22"/>
      <w:szCs w:val="22"/>
      <w:lang w:val="x-none" w:eastAsia="x-none"/>
    </w:rPr>
  </w:style>
  <w:style w:type="paragraph" w:styleId="Odstavecseseznamem">
    <w:name w:val="List Paragraph"/>
    <w:basedOn w:val="Normln"/>
    <w:uiPriority w:val="34"/>
    <w:qFormat/>
    <w:rsid w:val="00D573F3"/>
    <w:pPr>
      <w:ind w:left="720"/>
      <w:contextualSpacing/>
    </w:pPr>
    <w:rPr>
      <w:rFonts w:ascii="Times New Roman" w:hAnsi="Times New Roman"/>
      <w:szCs w:val="24"/>
    </w:rPr>
  </w:style>
  <w:style w:type="paragraph" w:styleId="Textbubliny">
    <w:name w:val="Balloon Text"/>
    <w:basedOn w:val="Normln"/>
    <w:link w:val="TextbublinyChar"/>
    <w:uiPriority w:val="99"/>
    <w:semiHidden/>
    <w:unhideWhenUsed/>
    <w:rsid w:val="00D573F3"/>
    <w:rPr>
      <w:rFonts w:ascii="Tahoma" w:hAnsi="Tahoma" w:cs="Tahoma"/>
      <w:sz w:val="16"/>
      <w:szCs w:val="16"/>
    </w:rPr>
  </w:style>
  <w:style w:type="character" w:customStyle="1" w:styleId="TextbublinyChar">
    <w:name w:val="Text bubliny Char"/>
    <w:basedOn w:val="Standardnpsmoodstavce"/>
    <w:link w:val="Textbubliny"/>
    <w:uiPriority w:val="99"/>
    <w:semiHidden/>
    <w:rsid w:val="00D573F3"/>
    <w:rPr>
      <w:rFonts w:ascii="Tahoma" w:eastAsia="Times New Roman" w:hAnsi="Tahoma" w:cs="Tahoma"/>
      <w:sz w:val="16"/>
      <w:szCs w:val="16"/>
      <w:lang w:eastAsia="cs-CZ"/>
    </w:rPr>
  </w:style>
  <w:style w:type="paragraph" w:styleId="Zhlav">
    <w:name w:val="header"/>
    <w:basedOn w:val="Normln"/>
    <w:link w:val="ZhlavChar"/>
    <w:unhideWhenUsed/>
    <w:rsid w:val="00D573F3"/>
    <w:pPr>
      <w:tabs>
        <w:tab w:val="center" w:pos="4536"/>
        <w:tab w:val="right" w:pos="9072"/>
      </w:tabs>
    </w:pPr>
  </w:style>
  <w:style w:type="character" w:customStyle="1" w:styleId="ZhlavChar">
    <w:name w:val="Záhlaví Char"/>
    <w:basedOn w:val="Standardnpsmoodstavce"/>
    <w:link w:val="Zhlav"/>
    <w:rsid w:val="00D573F3"/>
    <w:rPr>
      <w:rFonts w:ascii="Arial" w:eastAsia="Times New Roman" w:hAnsi="Arial" w:cs="Times New Roman"/>
      <w:sz w:val="24"/>
      <w:szCs w:val="20"/>
      <w:lang w:eastAsia="cs-CZ"/>
    </w:rPr>
  </w:style>
  <w:style w:type="paragraph" w:styleId="Zpat">
    <w:name w:val="footer"/>
    <w:basedOn w:val="Normln"/>
    <w:link w:val="ZpatChar"/>
    <w:uiPriority w:val="99"/>
    <w:unhideWhenUsed/>
    <w:rsid w:val="00D573F3"/>
    <w:pPr>
      <w:tabs>
        <w:tab w:val="center" w:pos="4536"/>
        <w:tab w:val="right" w:pos="9072"/>
      </w:tabs>
    </w:pPr>
  </w:style>
  <w:style w:type="character" w:customStyle="1" w:styleId="ZpatChar">
    <w:name w:val="Zápatí Char"/>
    <w:basedOn w:val="Standardnpsmoodstavce"/>
    <w:link w:val="Zpat"/>
    <w:uiPriority w:val="99"/>
    <w:rsid w:val="00D573F3"/>
    <w:rPr>
      <w:rFonts w:ascii="Arial" w:eastAsia="Times New Roman" w:hAnsi="Arial" w:cs="Times New Roman"/>
      <w:sz w:val="24"/>
      <w:szCs w:val="20"/>
      <w:lang w:eastAsia="cs-CZ"/>
    </w:rPr>
  </w:style>
  <w:style w:type="paragraph" w:customStyle="1" w:styleId="NormlnIMP">
    <w:name w:val="Normální_IMP"/>
    <w:basedOn w:val="Normln"/>
    <w:rsid w:val="00FA1BF6"/>
    <w:pPr>
      <w:suppressAutoHyphens/>
      <w:overflowPunct w:val="0"/>
      <w:autoSpaceDE w:val="0"/>
      <w:autoSpaceDN w:val="0"/>
      <w:adjustRightInd w:val="0"/>
      <w:spacing w:line="228" w:lineRule="auto"/>
      <w:jc w:val="both"/>
    </w:pPr>
    <w:rPr>
      <w:rFonts w:ascii="Times New Roman" w:hAnsi="Times New Roman"/>
    </w:rPr>
  </w:style>
  <w:style w:type="paragraph" w:styleId="Normlnweb">
    <w:name w:val="Normal (Web)"/>
    <w:basedOn w:val="Normln"/>
    <w:uiPriority w:val="99"/>
    <w:semiHidden/>
    <w:unhideWhenUsed/>
    <w:rsid w:val="00FA1BF6"/>
    <w:pPr>
      <w:spacing w:before="100" w:beforeAutospacing="1" w:after="100" w:afterAutospacing="1"/>
    </w:pPr>
    <w:rPr>
      <w:rFonts w:ascii="Times New Roman" w:hAnsi="Times New Roman"/>
      <w:szCs w:val="24"/>
    </w:rPr>
  </w:style>
  <w:style w:type="character" w:customStyle="1" w:styleId="Nadpis1Char">
    <w:name w:val="Nadpis 1 Char"/>
    <w:basedOn w:val="Standardnpsmoodstavce"/>
    <w:link w:val="Nadpis1"/>
    <w:rsid w:val="00A92C85"/>
    <w:rPr>
      <w:rFonts w:eastAsia="Times New Roman" w:cs="Times New Roman"/>
      <w:sz w:val="24"/>
      <w:szCs w:val="20"/>
      <w:lang w:val="x-none" w:eastAsia="x-none"/>
    </w:rPr>
  </w:style>
  <w:style w:type="character" w:customStyle="1" w:styleId="Nadpis2Char">
    <w:name w:val="Nadpis 2 Char"/>
    <w:basedOn w:val="Standardnpsmoodstavce"/>
    <w:link w:val="Nadpis2"/>
    <w:uiPriority w:val="9"/>
    <w:semiHidden/>
    <w:rsid w:val="00A92C85"/>
    <w:rPr>
      <w:rFonts w:ascii="Cambria" w:eastAsia="Times New Roman" w:hAnsi="Cambria" w:cs="Times New Roman"/>
      <w:b/>
      <w:bCs/>
      <w:i/>
      <w:iCs/>
      <w:sz w:val="28"/>
      <w:szCs w:val="28"/>
      <w:lang w:eastAsia="cs-CZ"/>
    </w:rPr>
  </w:style>
  <w:style w:type="character" w:customStyle="1" w:styleId="Zpatsledovanodkaz">
    <w:name w:val="Zápatí sledovaný odkaz"/>
    <w:rsid w:val="00A92C85"/>
    <w:rPr>
      <w:rFonts w:ascii="Futura Lt AT" w:hAnsi="Futura Lt AT"/>
      <w:noProof/>
      <w:color w:val="000000"/>
      <w:sz w:val="14"/>
      <w:u w:val="none"/>
      <w:effect w:val="none"/>
      <w:vertAlign w:val="baseline"/>
    </w:rPr>
  </w:style>
  <w:style w:type="table" w:styleId="Mkatabulky">
    <w:name w:val="Table Grid"/>
    <w:basedOn w:val="Normlntabulka"/>
    <w:uiPriority w:val="59"/>
    <w:rsid w:val="00A92C85"/>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1">
    <w:name w:val="Základní text Char1"/>
    <w:uiPriority w:val="99"/>
    <w:semiHidden/>
    <w:rsid w:val="00A92C85"/>
    <w:rPr>
      <w:rFonts w:ascii="Arial" w:eastAsia="Times New Roman" w:hAnsi="Arial"/>
      <w:sz w:val="24"/>
    </w:rPr>
  </w:style>
  <w:style w:type="character" w:customStyle="1" w:styleId="Psmoodstavce">
    <w:name w:val="Písmo odstavce"/>
    <w:rsid w:val="00A92C85"/>
    <w:rPr>
      <w:rFonts w:ascii="Arial" w:hAnsi="Arial" w:cs="Arial" w:hint="default"/>
      <w:sz w:val="24"/>
    </w:rPr>
  </w:style>
  <w:style w:type="paragraph" w:styleId="Textpoznpodarou">
    <w:name w:val="footnote text"/>
    <w:basedOn w:val="Normln"/>
    <w:link w:val="TextpoznpodarouChar"/>
    <w:uiPriority w:val="99"/>
    <w:semiHidden/>
    <w:unhideWhenUsed/>
    <w:rsid w:val="00A92C85"/>
    <w:pPr>
      <w:spacing w:after="200" w:line="276" w:lineRule="auto"/>
    </w:pPr>
    <w:rPr>
      <w:rFonts w:ascii="Calibri" w:hAnsi="Calibri"/>
      <w:sz w:val="20"/>
    </w:rPr>
  </w:style>
  <w:style w:type="character" w:customStyle="1" w:styleId="TextpoznpodarouChar">
    <w:name w:val="Text pozn. pod čarou Char"/>
    <w:basedOn w:val="Standardnpsmoodstavce"/>
    <w:link w:val="Textpoznpodarou"/>
    <w:uiPriority w:val="99"/>
    <w:semiHidden/>
    <w:rsid w:val="00A92C85"/>
    <w:rPr>
      <w:rFonts w:ascii="Calibri" w:eastAsia="Times New Roman" w:hAnsi="Calibri" w:cs="Times New Roman"/>
      <w:sz w:val="20"/>
      <w:szCs w:val="20"/>
      <w:lang w:eastAsia="cs-CZ"/>
    </w:rPr>
  </w:style>
  <w:style w:type="character" w:styleId="Znakapoznpodarou">
    <w:name w:val="footnote reference"/>
    <w:uiPriority w:val="99"/>
    <w:semiHidden/>
    <w:unhideWhenUsed/>
    <w:rsid w:val="00A92C85"/>
    <w:rPr>
      <w:rFonts w:cs="Times New Roman"/>
      <w:vertAlign w:val="superscript"/>
    </w:rPr>
  </w:style>
  <w:style w:type="character" w:styleId="Nzevknihy">
    <w:name w:val="Book Title"/>
    <w:uiPriority w:val="33"/>
    <w:qFormat/>
    <w:rsid w:val="00A92C85"/>
    <w:rPr>
      <w:b/>
      <w:bCs/>
      <w:smallCaps/>
      <w:spacing w:val="5"/>
    </w:rPr>
  </w:style>
  <w:style w:type="paragraph" w:customStyle="1" w:styleId="Default">
    <w:name w:val="Default"/>
    <w:rsid w:val="00A92C85"/>
    <w:pPr>
      <w:autoSpaceDE w:val="0"/>
      <w:autoSpaceDN w:val="0"/>
      <w:adjustRightInd w:val="0"/>
    </w:pPr>
    <w:rPr>
      <w:rFonts w:eastAsia="Calibri" w:cs="Times New Roman"/>
      <w:color w:val="000000"/>
      <w:sz w:val="24"/>
      <w:szCs w:val="24"/>
      <w:lang w:eastAsia="cs-CZ"/>
    </w:rPr>
  </w:style>
  <w:style w:type="paragraph" w:customStyle="1" w:styleId="PVZahlavi1">
    <w:name w:val="PVZahlavi1"/>
    <w:basedOn w:val="Normln"/>
    <w:rsid w:val="00A92C85"/>
    <w:rPr>
      <w:rFonts w:ascii="Futura Lt AT" w:hAnsi="Futura Lt AT"/>
      <w:caps/>
      <w:sz w:val="32"/>
      <w:szCs w:val="24"/>
    </w:rPr>
  </w:style>
  <w:style w:type="paragraph" w:customStyle="1" w:styleId="PVZahlavi2">
    <w:name w:val="PVZahlavi2"/>
    <w:basedOn w:val="PVZahlavi1"/>
    <w:rsid w:val="00A92C85"/>
    <w:pPr>
      <w:spacing w:line="240" w:lineRule="exact"/>
    </w:pPr>
    <w:rPr>
      <w:sz w:val="16"/>
    </w:rPr>
  </w:style>
  <w:style w:type="paragraph" w:customStyle="1" w:styleId="PVZahlavi3">
    <w:name w:val="PVZahlavi3"/>
    <w:basedOn w:val="PVZahlavi1"/>
    <w:rsid w:val="00A92C85"/>
    <w:rPr>
      <w:sz w:val="28"/>
      <w:szCs w:val="16"/>
    </w:rPr>
  </w:style>
  <w:style w:type="paragraph" w:customStyle="1" w:styleId="PVSSL">
    <w:name w:val="PVSSL"/>
    <w:basedOn w:val="Normln"/>
    <w:rsid w:val="00A92C85"/>
    <w:rPr>
      <w:rFonts w:cs="Arial"/>
      <w:b/>
      <w:sz w:val="16"/>
      <w:szCs w:val="24"/>
    </w:rPr>
  </w:style>
  <w:style w:type="paragraph" w:customStyle="1" w:styleId="PVNormal">
    <w:name w:val="PVNormal"/>
    <w:basedOn w:val="Normln"/>
    <w:rsid w:val="00A92C85"/>
    <w:rPr>
      <w:szCs w:val="24"/>
    </w:rPr>
  </w:style>
  <w:style w:type="character" w:styleId="Siln">
    <w:name w:val="Strong"/>
    <w:uiPriority w:val="22"/>
    <w:qFormat/>
    <w:rsid w:val="00A92C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458B"/>
    <w:rPr>
      <w:rFonts w:ascii="Arial" w:eastAsia="Times New Roman" w:hAnsi="Arial" w:cs="Times New Roman"/>
      <w:sz w:val="24"/>
      <w:szCs w:val="20"/>
      <w:lang w:eastAsia="cs-CZ"/>
    </w:rPr>
  </w:style>
  <w:style w:type="paragraph" w:styleId="Nadpis1">
    <w:name w:val="heading 1"/>
    <w:basedOn w:val="Normln"/>
    <w:next w:val="Normln"/>
    <w:link w:val="Nadpis1Char"/>
    <w:qFormat/>
    <w:rsid w:val="00A92C85"/>
    <w:pPr>
      <w:keepNext/>
      <w:jc w:val="both"/>
      <w:outlineLvl w:val="0"/>
    </w:pPr>
    <w:rPr>
      <w:rFonts w:ascii="Times New Roman" w:hAnsi="Times New Roman"/>
      <w:lang w:val="x-none" w:eastAsia="x-none"/>
    </w:rPr>
  </w:style>
  <w:style w:type="paragraph" w:styleId="Nadpis2">
    <w:name w:val="heading 2"/>
    <w:basedOn w:val="Normln"/>
    <w:next w:val="Normln"/>
    <w:link w:val="Nadpis2Char"/>
    <w:uiPriority w:val="9"/>
    <w:semiHidden/>
    <w:unhideWhenUsed/>
    <w:qFormat/>
    <w:rsid w:val="00A92C85"/>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unhideWhenUsed/>
    <w:rsid w:val="009B458B"/>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9B458B"/>
    <w:rPr>
      <w:rFonts w:eastAsia="Times New Roman" w:cs="Times New Roman"/>
      <w:sz w:val="20"/>
      <w:szCs w:val="20"/>
      <w:lang w:eastAsia="cs-CZ"/>
    </w:rPr>
  </w:style>
  <w:style w:type="paragraph" w:styleId="Zkladntext">
    <w:name w:val="Body Text"/>
    <w:basedOn w:val="Normln"/>
    <w:link w:val="ZkladntextChar"/>
    <w:unhideWhenUsed/>
    <w:rsid w:val="009B458B"/>
    <w:pPr>
      <w:spacing w:after="120"/>
    </w:pPr>
  </w:style>
  <w:style w:type="character" w:customStyle="1" w:styleId="ZkladntextChar">
    <w:name w:val="Základní text Char"/>
    <w:basedOn w:val="Standardnpsmoodstavce"/>
    <w:link w:val="Zkladntext"/>
    <w:rsid w:val="009B458B"/>
    <w:rPr>
      <w:rFonts w:ascii="Arial" w:eastAsia="Times New Roman" w:hAnsi="Arial" w:cs="Times New Roman"/>
      <w:sz w:val="24"/>
      <w:szCs w:val="20"/>
      <w:lang w:eastAsia="cs-CZ"/>
    </w:rPr>
  </w:style>
  <w:style w:type="paragraph" w:styleId="Datum">
    <w:name w:val="Date"/>
    <w:basedOn w:val="Normln"/>
    <w:next w:val="Normln"/>
    <w:link w:val="DatumChar"/>
    <w:unhideWhenUsed/>
    <w:rsid w:val="009B458B"/>
  </w:style>
  <w:style w:type="character" w:customStyle="1" w:styleId="DatumChar">
    <w:name w:val="Datum Char"/>
    <w:basedOn w:val="Standardnpsmoodstavce"/>
    <w:link w:val="Datum"/>
    <w:rsid w:val="009B458B"/>
    <w:rPr>
      <w:rFonts w:ascii="Arial" w:eastAsia="Times New Roman" w:hAnsi="Arial" w:cs="Times New Roman"/>
      <w:sz w:val="24"/>
      <w:szCs w:val="20"/>
      <w:lang w:eastAsia="cs-CZ"/>
    </w:rPr>
  </w:style>
  <w:style w:type="paragraph" w:styleId="Bezmezer">
    <w:name w:val="No Spacing"/>
    <w:uiPriority w:val="1"/>
    <w:qFormat/>
    <w:rsid w:val="009B458B"/>
    <w:rPr>
      <w:rFonts w:ascii="Arial" w:eastAsia="Times New Roman" w:hAnsi="Arial" w:cs="Times New Roman"/>
      <w:sz w:val="24"/>
      <w:szCs w:val="20"/>
      <w:lang w:eastAsia="cs-CZ"/>
    </w:rPr>
  </w:style>
  <w:style w:type="paragraph" w:customStyle="1" w:styleId="Zkladntext21">
    <w:name w:val="Základní text 21"/>
    <w:basedOn w:val="Normln"/>
    <w:rsid w:val="009B458B"/>
    <w:pPr>
      <w:jc w:val="both"/>
    </w:pPr>
    <w:rPr>
      <w:rFonts w:ascii="Times New Roman" w:hAnsi="Times New Roman"/>
      <w:sz w:val="20"/>
    </w:rPr>
  </w:style>
  <w:style w:type="character" w:customStyle="1" w:styleId="BodyText3Char">
    <w:name w:val="Body Text 3 Char"/>
    <w:link w:val="Zkladntext31"/>
    <w:locked/>
    <w:rsid w:val="009B458B"/>
    <w:rPr>
      <w:b/>
      <w:lang w:val="x-none" w:eastAsia="x-none"/>
    </w:rPr>
  </w:style>
  <w:style w:type="paragraph" w:customStyle="1" w:styleId="Zkladntext31">
    <w:name w:val="Základní text 31"/>
    <w:basedOn w:val="Normln"/>
    <w:link w:val="BodyText3Char"/>
    <w:rsid w:val="009B458B"/>
    <w:rPr>
      <w:rFonts w:ascii="Times New Roman" w:eastAsiaTheme="minorHAnsi" w:hAnsi="Times New Roman" w:cstheme="minorBidi"/>
      <w:b/>
      <w:sz w:val="22"/>
      <w:szCs w:val="22"/>
      <w:lang w:val="x-none" w:eastAsia="x-none"/>
    </w:rPr>
  </w:style>
  <w:style w:type="paragraph" w:styleId="Odstavecseseznamem">
    <w:name w:val="List Paragraph"/>
    <w:basedOn w:val="Normln"/>
    <w:uiPriority w:val="34"/>
    <w:qFormat/>
    <w:rsid w:val="00D573F3"/>
    <w:pPr>
      <w:ind w:left="720"/>
      <w:contextualSpacing/>
    </w:pPr>
    <w:rPr>
      <w:rFonts w:ascii="Times New Roman" w:hAnsi="Times New Roman"/>
      <w:szCs w:val="24"/>
    </w:rPr>
  </w:style>
  <w:style w:type="paragraph" w:styleId="Textbubliny">
    <w:name w:val="Balloon Text"/>
    <w:basedOn w:val="Normln"/>
    <w:link w:val="TextbublinyChar"/>
    <w:uiPriority w:val="99"/>
    <w:semiHidden/>
    <w:unhideWhenUsed/>
    <w:rsid w:val="00D573F3"/>
    <w:rPr>
      <w:rFonts w:ascii="Tahoma" w:hAnsi="Tahoma" w:cs="Tahoma"/>
      <w:sz w:val="16"/>
      <w:szCs w:val="16"/>
    </w:rPr>
  </w:style>
  <w:style w:type="character" w:customStyle="1" w:styleId="TextbublinyChar">
    <w:name w:val="Text bubliny Char"/>
    <w:basedOn w:val="Standardnpsmoodstavce"/>
    <w:link w:val="Textbubliny"/>
    <w:uiPriority w:val="99"/>
    <w:semiHidden/>
    <w:rsid w:val="00D573F3"/>
    <w:rPr>
      <w:rFonts w:ascii="Tahoma" w:eastAsia="Times New Roman" w:hAnsi="Tahoma" w:cs="Tahoma"/>
      <w:sz w:val="16"/>
      <w:szCs w:val="16"/>
      <w:lang w:eastAsia="cs-CZ"/>
    </w:rPr>
  </w:style>
  <w:style w:type="paragraph" w:styleId="Zhlav">
    <w:name w:val="header"/>
    <w:basedOn w:val="Normln"/>
    <w:link w:val="ZhlavChar"/>
    <w:unhideWhenUsed/>
    <w:rsid w:val="00D573F3"/>
    <w:pPr>
      <w:tabs>
        <w:tab w:val="center" w:pos="4536"/>
        <w:tab w:val="right" w:pos="9072"/>
      </w:tabs>
    </w:pPr>
  </w:style>
  <w:style w:type="character" w:customStyle="1" w:styleId="ZhlavChar">
    <w:name w:val="Záhlaví Char"/>
    <w:basedOn w:val="Standardnpsmoodstavce"/>
    <w:link w:val="Zhlav"/>
    <w:rsid w:val="00D573F3"/>
    <w:rPr>
      <w:rFonts w:ascii="Arial" w:eastAsia="Times New Roman" w:hAnsi="Arial" w:cs="Times New Roman"/>
      <w:sz w:val="24"/>
      <w:szCs w:val="20"/>
      <w:lang w:eastAsia="cs-CZ"/>
    </w:rPr>
  </w:style>
  <w:style w:type="paragraph" w:styleId="Zpat">
    <w:name w:val="footer"/>
    <w:basedOn w:val="Normln"/>
    <w:link w:val="ZpatChar"/>
    <w:uiPriority w:val="99"/>
    <w:unhideWhenUsed/>
    <w:rsid w:val="00D573F3"/>
    <w:pPr>
      <w:tabs>
        <w:tab w:val="center" w:pos="4536"/>
        <w:tab w:val="right" w:pos="9072"/>
      </w:tabs>
    </w:pPr>
  </w:style>
  <w:style w:type="character" w:customStyle="1" w:styleId="ZpatChar">
    <w:name w:val="Zápatí Char"/>
    <w:basedOn w:val="Standardnpsmoodstavce"/>
    <w:link w:val="Zpat"/>
    <w:uiPriority w:val="99"/>
    <w:rsid w:val="00D573F3"/>
    <w:rPr>
      <w:rFonts w:ascii="Arial" w:eastAsia="Times New Roman" w:hAnsi="Arial" w:cs="Times New Roman"/>
      <w:sz w:val="24"/>
      <w:szCs w:val="20"/>
      <w:lang w:eastAsia="cs-CZ"/>
    </w:rPr>
  </w:style>
  <w:style w:type="paragraph" w:customStyle="1" w:styleId="NormlnIMP">
    <w:name w:val="Normální_IMP"/>
    <w:basedOn w:val="Normln"/>
    <w:rsid w:val="00FA1BF6"/>
    <w:pPr>
      <w:suppressAutoHyphens/>
      <w:overflowPunct w:val="0"/>
      <w:autoSpaceDE w:val="0"/>
      <w:autoSpaceDN w:val="0"/>
      <w:adjustRightInd w:val="0"/>
      <w:spacing w:line="228" w:lineRule="auto"/>
      <w:jc w:val="both"/>
    </w:pPr>
    <w:rPr>
      <w:rFonts w:ascii="Times New Roman" w:hAnsi="Times New Roman"/>
    </w:rPr>
  </w:style>
  <w:style w:type="paragraph" w:styleId="Normlnweb">
    <w:name w:val="Normal (Web)"/>
    <w:basedOn w:val="Normln"/>
    <w:uiPriority w:val="99"/>
    <w:semiHidden/>
    <w:unhideWhenUsed/>
    <w:rsid w:val="00FA1BF6"/>
    <w:pPr>
      <w:spacing w:before="100" w:beforeAutospacing="1" w:after="100" w:afterAutospacing="1"/>
    </w:pPr>
    <w:rPr>
      <w:rFonts w:ascii="Times New Roman" w:hAnsi="Times New Roman"/>
      <w:szCs w:val="24"/>
    </w:rPr>
  </w:style>
  <w:style w:type="character" w:customStyle="1" w:styleId="Nadpis1Char">
    <w:name w:val="Nadpis 1 Char"/>
    <w:basedOn w:val="Standardnpsmoodstavce"/>
    <w:link w:val="Nadpis1"/>
    <w:rsid w:val="00A92C85"/>
    <w:rPr>
      <w:rFonts w:eastAsia="Times New Roman" w:cs="Times New Roman"/>
      <w:sz w:val="24"/>
      <w:szCs w:val="20"/>
      <w:lang w:val="x-none" w:eastAsia="x-none"/>
    </w:rPr>
  </w:style>
  <w:style w:type="character" w:customStyle="1" w:styleId="Nadpis2Char">
    <w:name w:val="Nadpis 2 Char"/>
    <w:basedOn w:val="Standardnpsmoodstavce"/>
    <w:link w:val="Nadpis2"/>
    <w:uiPriority w:val="9"/>
    <w:semiHidden/>
    <w:rsid w:val="00A92C85"/>
    <w:rPr>
      <w:rFonts w:ascii="Cambria" w:eastAsia="Times New Roman" w:hAnsi="Cambria" w:cs="Times New Roman"/>
      <w:b/>
      <w:bCs/>
      <w:i/>
      <w:iCs/>
      <w:sz w:val="28"/>
      <w:szCs w:val="28"/>
      <w:lang w:eastAsia="cs-CZ"/>
    </w:rPr>
  </w:style>
  <w:style w:type="character" w:customStyle="1" w:styleId="Zpatsledovanodkaz">
    <w:name w:val="Zápatí sledovaný odkaz"/>
    <w:rsid w:val="00A92C85"/>
    <w:rPr>
      <w:rFonts w:ascii="Futura Lt AT" w:hAnsi="Futura Lt AT"/>
      <w:noProof/>
      <w:color w:val="000000"/>
      <w:sz w:val="14"/>
      <w:u w:val="none"/>
      <w:effect w:val="none"/>
      <w:vertAlign w:val="baseline"/>
    </w:rPr>
  </w:style>
  <w:style w:type="table" w:styleId="Mkatabulky">
    <w:name w:val="Table Grid"/>
    <w:basedOn w:val="Normlntabulka"/>
    <w:uiPriority w:val="59"/>
    <w:rsid w:val="00A92C85"/>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1">
    <w:name w:val="Základní text Char1"/>
    <w:uiPriority w:val="99"/>
    <w:semiHidden/>
    <w:rsid w:val="00A92C85"/>
    <w:rPr>
      <w:rFonts w:ascii="Arial" w:eastAsia="Times New Roman" w:hAnsi="Arial"/>
      <w:sz w:val="24"/>
    </w:rPr>
  </w:style>
  <w:style w:type="character" w:customStyle="1" w:styleId="Psmoodstavce">
    <w:name w:val="Písmo odstavce"/>
    <w:rsid w:val="00A92C85"/>
    <w:rPr>
      <w:rFonts w:ascii="Arial" w:hAnsi="Arial" w:cs="Arial" w:hint="default"/>
      <w:sz w:val="24"/>
    </w:rPr>
  </w:style>
  <w:style w:type="paragraph" w:styleId="Textpoznpodarou">
    <w:name w:val="footnote text"/>
    <w:basedOn w:val="Normln"/>
    <w:link w:val="TextpoznpodarouChar"/>
    <w:uiPriority w:val="99"/>
    <w:semiHidden/>
    <w:unhideWhenUsed/>
    <w:rsid w:val="00A92C85"/>
    <w:pPr>
      <w:spacing w:after="200" w:line="276" w:lineRule="auto"/>
    </w:pPr>
    <w:rPr>
      <w:rFonts w:ascii="Calibri" w:hAnsi="Calibri"/>
      <w:sz w:val="20"/>
    </w:rPr>
  </w:style>
  <w:style w:type="character" w:customStyle="1" w:styleId="TextpoznpodarouChar">
    <w:name w:val="Text pozn. pod čarou Char"/>
    <w:basedOn w:val="Standardnpsmoodstavce"/>
    <w:link w:val="Textpoznpodarou"/>
    <w:uiPriority w:val="99"/>
    <w:semiHidden/>
    <w:rsid w:val="00A92C85"/>
    <w:rPr>
      <w:rFonts w:ascii="Calibri" w:eastAsia="Times New Roman" w:hAnsi="Calibri" w:cs="Times New Roman"/>
      <w:sz w:val="20"/>
      <w:szCs w:val="20"/>
      <w:lang w:eastAsia="cs-CZ"/>
    </w:rPr>
  </w:style>
  <w:style w:type="character" w:styleId="Znakapoznpodarou">
    <w:name w:val="footnote reference"/>
    <w:uiPriority w:val="99"/>
    <w:semiHidden/>
    <w:unhideWhenUsed/>
    <w:rsid w:val="00A92C85"/>
    <w:rPr>
      <w:rFonts w:cs="Times New Roman"/>
      <w:vertAlign w:val="superscript"/>
    </w:rPr>
  </w:style>
  <w:style w:type="character" w:styleId="Nzevknihy">
    <w:name w:val="Book Title"/>
    <w:uiPriority w:val="33"/>
    <w:qFormat/>
    <w:rsid w:val="00A92C85"/>
    <w:rPr>
      <w:b/>
      <w:bCs/>
      <w:smallCaps/>
      <w:spacing w:val="5"/>
    </w:rPr>
  </w:style>
  <w:style w:type="paragraph" w:customStyle="1" w:styleId="Default">
    <w:name w:val="Default"/>
    <w:rsid w:val="00A92C85"/>
    <w:pPr>
      <w:autoSpaceDE w:val="0"/>
      <w:autoSpaceDN w:val="0"/>
      <w:adjustRightInd w:val="0"/>
    </w:pPr>
    <w:rPr>
      <w:rFonts w:eastAsia="Calibri" w:cs="Times New Roman"/>
      <w:color w:val="000000"/>
      <w:sz w:val="24"/>
      <w:szCs w:val="24"/>
      <w:lang w:eastAsia="cs-CZ"/>
    </w:rPr>
  </w:style>
  <w:style w:type="paragraph" w:customStyle="1" w:styleId="PVZahlavi1">
    <w:name w:val="PVZahlavi1"/>
    <w:basedOn w:val="Normln"/>
    <w:rsid w:val="00A92C85"/>
    <w:rPr>
      <w:rFonts w:ascii="Futura Lt AT" w:hAnsi="Futura Lt AT"/>
      <w:caps/>
      <w:sz w:val="32"/>
      <w:szCs w:val="24"/>
    </w:rPr>
  </w:style>
  <w:style w:type="paragraph" w:customStyle="1" w:styleId="PVZahlavi2">
    <w:name w:val="PVZahlavi2"/>
    <w:basedOn w:val="PVZahlavi1"/>
    <w:rsid w:val="00A92C85"/>
    <w:pPr>
      <w:spacing w:line="240" w:lineRule="exact"/>
    </w:pPr>
    <w:rPr>
      <w:sz w:val="16"/>
    </w:rPr>
  </w:style>
  <w:style w:type="paragraph" w:customStyle="1" w:styleId="PVZahlavi3">
    <w:name w:val="PVZahlavi3"/>
    <w:basedOn w:val="PVZahlavi1"/>
    <w:rsid w:val="00A92C85"/>
    <w:rPr>
      <w:sz w:val="28"/>
      <w:szCs w:val="16"/>
    </w:rPr>
  </w:style>
  <w:style w:type="paragraph" w:customStyle="1" w:styleId="PVSSL">
    <w:name w:val="PVSSL"/>
    <w:basedOn w:val="Normln"/>
    <w:rsid w:val="00A92C85"/>
    <w:rPr>
      <w:rFonts w:cs="Arial"/>
      <w:b/>
      <w:sz w:val="16"/>
      <w:szCs w:val="24"/>
    </w:rPr>
  </w:style>
  <w:style w:type="paragraph" w:customStyle="1" w:styleId="PVNormal">
    <w:name w:val="PVNormal"/>
    <w:basedOn w:val="Normln"/>
    <w:rsid w:val="00A92C85"/>
    <w:rPr>
      <w:szCs w:val="24"/>
    </w:rPr>
  </w:style>
  <w:style w:type="character" w:styleId="Siln">
    <w:name w:val="Strong"/>
    <w:uiPriority w:val="22"/>
    <w:qFormat/>
    <w:rsid w:val="00A92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135031">
      <w:bodyDiv w:val="1"/>
      <w:marLeft w:val="0"/>
      <w:marRight w:val="0"/>
      <w:marTop w:val="0"/>
      <w:marBottom w:val="0"/>
      <w:divBdr>
        <w:top w:val="none" w:sz="0" w:space="0" w:color="auto"/>
        <w:left w:val="none" w:sz="0" w:space="0" w:color="auto"/>
        <w:bottom w:val="none" w:sz="0" w:space="0" w:color="auto"/>
        <w:right w:val="none" w:sz="0" w:space="0" w:color="auto"/>
      </w:divBdr>
    </w:div>
    <w:div w:id="1331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4176</Words>
  <Characters>24645</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Vyškovský Pavel</dc:creator>
  <cp:lastModifiedBy>Vyškovský Pavel</cp:lastModifiedBy>
  <cp:revision>6</cp:revision>
  <cp:lastPrinted>2017-06-07T07:44:00Z</cp:lastPrinted>
  <dcterms:created xsi:type="dcterms:W3CDTF">2017-06-06T06:32:00Z</dcterms:created>
  <dcterms:modified xsi:type="dcterms:W3CDTF">2017-06-07T08:15:00Z</dcterms:modified>
</cp:coreProperties>
</file>