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7E3" w:rsidRDefault="001557E3">
      <w:pPr>
        <w:tabs>
          <w:tab w:val="left" w:pos="1620"/>
        </w:tabs>
        <w:ind w:left="1620" w:hanging="1620"/>
        <w:jc w:val="both"/>
        <w:rPr>
          <w:rFonts w:ascii="Arial" w:hAnsi="Arial" w:cs="Arial"/>
          <w:bCs/>
          <w:sz w:val="20"/>
          <w:szCs w:val="20"/>
        </w:rPr>
      </w:pPr>
    </w:p>
    <w:p w:rsidR="00354CAE" w:rsidRPr="00354CAE" w:rsidRDefault="00354CAE">
      <w:pPr>
        <w:tabs>
          <w:tab w:val="left" w:pos="1620"/>
        </w:tabs>
        <w:ind w:left="1620" w:hanging="1620"/>
        <w:jc w:val="both"/>
        <w:rPr>
          <w:rFonts w:ascii="Arial" w:hAnsi="Arial" w:cs="Arial"/>
          <w:bCs/>
          <w:sz w:val="20"/>
          <w:szCs w:val="20"/>
        </w:rPr>
      </w:pPr>
      <w:r w:rsidRPr="00354CAE">
        <w:rPr>
          <w:rFonts w:ascii="Arial" w:hAnsi="Arial" w:cs="Arial"/>
          <w:bCs/>
          <w:sz w:val="20"/>
          <w:szCs w:val="20"/>
        </w:rPr>
        <w:tab/>
      </w:r>
      <w:r w:rsidRPr="00354CAE">
        <w:rPr>
          <w:rFonts w:ascii="Arial" w:hAnsi="Arial" w:cs="Arial"/>
          <w:bCs/>
          <w:sz w:val="20"/>
          <w:szCs w:val="20"/>
        </w:rPr>
        <w:tab/>
      </w:r>
      <w:r w:rsidRPr="00354CAE">
        <w:rPr>
          <w:rFonts w:ascii="Arial" w:hAnsi="Arial" w:cs="Arial"/>
          <w:bCs/>
          <w:sz w:val="20"/>
          <w:szCs w:val="20"/>
        </w:rPr>
        <w:tab/>
      </w:r>
      <w:r w:rsidRPr="00354CAE">
        <w:rPr>
          <w:rFonts w:ascii="Arial" w:hAnsi="Arial" w:cs="Arial"/>
          <w:bCs/>
          <w:sz w:val="20"/>
          <w:szCs w:val="20"/>
        </w:rPr>
        <w:tab/>
      </w:r>
      <w:r w:rsidRPr="00354CAE">
        <w:rPr>
          <w:rFonts w:ascii="Arial" w:hAnsi="Arial" w:cs="Arial"/>
          <w:bCs/>
          <w:sz w:val="20"/>
          <w:szCs w:val="20"/>
        </w:rPr>
        <w:tab/>
      </w:r>
      <w:r w:rsidRPr="00354CAE">
        <w:rPr>
          <w:rFonts w:ascii="Arial" w:hAnsi="Arial" w:cs="Arial"/>
          <w:bCs/>
          <w:sz w:val="20"/>
          <w:szCs w:val="20"/>
        </w:rPr>
        <w:tab/>
        <w:t>Předkládá:</w:t>
      </w:r>
      <w:r w:rsidRPr="00354CAE">
        <w:rPr>
          <w:rFonts w:ascii="Arial" w:hAnsi="Arial" w:cs="Arial"/>
          <w:bCs/>
          <w:sz w:val="20"/>
          <w:szCs w:val="20"/>
        </w:rPr>
        <w:tab/>
      </w:r>
      <w:r w:rsidR="0054556D">
        <w:rPr>
          <w:rFonts w:ascii="Arial" w:hAnsi="Arial" w:cs="Arial"/>
          <w:bCs/>
          <w:sz w:val="20"/>
          <w:szCs w:val="20"/>
        </w:rPr>
        <w:t>Mgr. František Jura</w:t>
      </w:r>
    </w:p>
    <w:p w:rsidR="00354CAE" w:rsidRPr="00354CAE" w:rsidRDefault="006E772C">
      <w:pPr>
        <w:tabs>
          <w:tab w:val="left" w:pos="1620"/>
        </w:tabs>
        <w:ind w:left="1620" w:hanging="1620"/>
        <w:jc w:val="both"/>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sidR="007708FA">
        <w:rPr>
          <w:rFonts w:ascii="Arial" w:hAnsi="Arial" w:cs="Arial"/>
          <w:bCs/>
          <w:sz w:val="20"/>
          <w:szCs w:val="20"/>
        </w:rPr>
        <w:t xml:space="preserve">            </w:t>
      </w:r>
      <w:r w:rsidR="00354CAE" w:rsidRPr="00354CAE">
        <w:rPr>
          <w:rFonts w:ascii="Arial" w:hAnsi="Arial" w:cs="Arial"/>
          <w:bCs/>
          <w:sz w:val="20"/>
          <w:szCs w:val="20"/>
        </w:rPr>
        <w:t>primátor</w:t>
      </w:r>
      <w:r w:rsidR="00284CB3">
        <w:rPr>
          <w:rFonts w:ascii="Arial" w:hAnsi="Arial" w:cs="Arial"/>
          <w:bCs/>
          <w:sz w:val="20"/>
          <w:szCs w:val="20"/>
        </w:rPr>
        <w:t xml:space="preserve"> </w:t>
      </w:r>
    </w:p>
    <w:p w:rsidR="0054556D" w:rsidRDefault="00354CAE" w:rsidP="00354CAE">
      <w:pPr>
        <w:tabs>
          <w:tab w:val="left" w:pos="1620"/>
        </w:tabs>
        <w:ind w:left="1620" w:hanging="1620"/>
        <w:jc w:val="both"/>
        <w:rPr>
          <w:rFonts w:ascii="Arial" w:hAnsi="Arial" w:cs="Arial"/>
          <w:bCs/>
          <w:sz w:val="20"/>
          <w:szCs w:val="20"/>
        </w:rPr>
      </w:pPr>
      <w:r w:rsidRPr="00354CAE">
        <w:rPr>
          <w:rFonts w:ascii="Arial" w:hAnsi="Arial" w:cs="Arial"/>
          <w:bCs/>
          <w:sz w:val="20"/>
          <w:szCs w:val="20"/>
        </w:rPr>
        <w:tab/>
      </w:r>
      <w:r w:rsidRPr="00354CAE">
        <w:rPr>
          <w:rFonts w:ascii="Arial" w:hAnsi="Arial" w:cs="Arial"/>
          <w:bCs/>
          <w:sz w:val="20"/>
          <w:szCs w:val="20"/>
        </w:rPr>
        <w:tab/>
      </w:r>
      <w:r w:rsidRPr="00354CAE">
        <w:rPr>
          <w:rFonts w:ascii="Arial" w:hAnsi="Arial" w:cs="Arial"/>
          <w:bCs/>
          <w:sz w:val="20"/>
          <w:szCs w:val="20"/>
        </w:rPr>
        <w:tab/>
      </w:r>
      <w:r w:rsidRPr="00354CAE">
        <w:rPr>
          <w:rFonts w:ascii="Arial" w:hAnsi="Arial" w:cs="Arial"/>
          <w:bCs/>
          <w:sz w:val="20"/>
          <w:szCs w:val="20"/>
        </w:rPr>
        <w:tab/>
      </w:r>
      <w:r w:rsidRPr="00354CAE">
        <w:rPr>
          <w:rFonts w:ascii="Arial" w:hAnsi="Arial" w:cs="Arial"/>
          <w:bCs/>
          <w:sz w:val="20"/>
          <w:szCs w:val="20"/>
        </w:rPr>
        <w:tab/>
      </w:r>
      <w:r w:rsidRPr="00354CAE">
        <w:rPr>
          <w:rFonts w:ascii="Arial" w:hAnsi="Arial" w:cs="Arial"/>
          <w:bCs/>
          <w:sz w:val="20"/>
          <w:szCs w:val="20"/>
        </w:rPr>
        <w:tab/>
      </w:r>
    </w:p>
    <w:p w:rsidR="00354CAE" w:rsidRPr="00354CAE" w:rsidRDefault="0054556D" w:rsidP="00354CAE">
      <w:pPr>
        <w:tabs>
          <w:tab w:val="left" w:pos="1620"/>
        </w:tabs>
        <w:ind w:left="1620" w:hanging="1620"/>
        <w:jc w:val="both"/>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sidR="002B0FEC">
        <w:rPr>
          <w:rFonts w:ascii="Arial" w:hAnsi="Arial" w:cs="Arial"/>
          <w:bCs/>
          <w:sz w:val="20"/>
          <w:szCs w:val="20"/>
        </w:rPr>
        <w:t>Zpracovali</w:t>
      </w:r>
      <w:r w:rsidR="00354CAE" w:rsidRPr="00354CAE">
        <w:rPr>
          <w:rFonts w:ascii="Arial" w:hAnsi="Arial" w:cs="Arial"/>
          <w:bCs/>
          <w:sz w:val="20"/>
          <w:szCs w:val="20"/>
        </w:rPr>
        <w:t>:</w:t>
      </w:r>
      <w:r w:rsidR="00354CAE" w:rsidRPr="00354CAE">
        <w:rPr>
          <w:rFonts w:ascii="Arial" w:hAnsi="Arial" w:cs="Arial"/>
          <w:bCs/>
          <w:sz w:val="20"/>
          <w:szCs w:val="20"/>
        </w:rPr>
        <w:tab/>
      </w:r>
      <w:r>
        <w:rPr>
          <w:rFonts w:ascii="Arial" w:hAnsi="Arial" w:cs="Arial"/>
          <w:bCs/>
          <w:sz w:val="20"/>
          <w:szCs w:val="20"/>
        </w:rPr>
        <w:t>Ing. Radim Carda</w:t>
      </w:r>
    </w:p>
    <w:p w:rsidR="00354CAE" w:rsidRPr="00354CAE" w:rsidRDefault="00354CAE" w:rsidP="00284CB3">
      <w:pPr>
        <w:tabs>
          <w:tab w:val="left" w:pos="1620"/>
        </w:tabs>
        <w:ind w:left="1620" w:hanging="1620"/>
        <w:rPr>
          <w:rFonts w:ascii="Arial" w:hAnsi="Arial" w:cs="Arial"/>
          <w:sz w:val="20"/>
          <w:szCs w:val="20"/>
        </w:rPr>
      </w:pPr>
      <w:r w:rsidRPr="00354CAE">
        <w:rPr>
          <w:rFonts w:ascii="Arial" w:hAnsi="Arial" w:cs="Arial"/>
          <w:bCs/>
          <w:sz w:val="20"/>
          <w:szCs w:val="20"/>
        </w:rPr>
        <w:tab/>
      </w:r>
      <w:r w:rsidRPr="00354CAE">
        <w:rPr>
          <w:rFonts w:ascii="Arial" w:hAnsi="Arial" w:cs="Arial"/>
          <w:bCs/>
          <w:sz w:val="20"/>
          <w:szCs w:val="20"/>
        </w:rPr>
        <w:tab/>
      </w:r>
      <w:r w:rsidRPr="00354CAE">
        <w:rPr>
          <w:rFonts w:ascii="Arial" w:hAnsi="Arial" w:cs="Arial"/>
          <w:bCs/>
          <w:sz w:val="20"/>
          <w:szCs w:val="20"/>
        </w:rPr>
        <w:tab/>
      </w:r>
      <w:r w:rsidRPr="00354CAE">
        <w:rPr>
          <w:rFonts w:ascii="Arial" w:hAnsi="Arial" w:cs="Arial"/>
          <w:bCs/>
          <w:sz w:val="20"/>
          <w:szCs w:val="20"/>
        </w:rPr>
        <w:tab/>
      </w:r>
      <w:r w:rsidRPr="00354CAE">
        <w:rPr>
          <w:rFonts w:ascii="Arial" w:hAnsi="Arial" w:cs="Arial"/>
          <w:bCs/>
          <w:sz w:val="20"/>
          <w:szCs w:val="20"/>
        </w:rPr>
        <w:tab/>
      </w:r>
      <w:r w:rsidRPr="00354CAE">
        <w:rPr>
          <w:rFonts w:ascii="Arial" w:hAnsi="Arial" w:cs="Arial"/>
          <w:bCs/>
          <w:sz w:val="20"/>
          <w:szCs w:val="20"/>
        </w:rPr>
        <w:tab/>
      </w:r>
      <w:r w:rsidRPr="00354CAE">
        <w:rPr>
          <w:rFonts w:ascii="Arial" w:hAnsi="Arial" w:cs="Arial"/>
          <w:bCs/>
          <w:sz w:val="20"/>
          <w:szCs w:val="20"/>
        </w:rPr>
        <w:tab/>
      </w:r>
      <w:r w:rsidRPr="00354CAE">
        <w:rPr>
          <w:rFonts w:ascii="Arial" w:hAnsi="Arial" w:cs="Arial"/>
          <w:bCs/>
          <w:sz w:val="20"/>
          <w:szCs w:val="20"/>
        </w:rPr>
        <w:tab/>
      </w:r>
      <w:r w:rsidRPr="00354CAE">
        <w:rPr>
          <w:rFonts w:ascii="Arial" w:hAnsi="Arial" w:cs="Arial"/>
          <w:sz w:val="20"/>
        </w:rPr>
        <w:t xml:space="preserve">vedoucí </w:t>
      </w:r>
      <w:r w:rsidR="0054556D">
        <w:rPr>
          <w:rFonts w:ascii="Arial" w:hAnsi="Arial" w:cs="Arial"/>
          <w:sz w:val="20"/>
        </w:rPr>
        <w:t>Finančního odboru</w:t>
      </w:r>
    </w:p>
    <w:p w:rsidR="00354CAE" w:rsidRPr="00354CAE" w:rsidRDefault="00354CAE" w:rsidP="00354CAE">
      <w:pPr>
        <w:tabs>
          <w:tab w:val="left" w:pos="1620"/>
        </w:tabs>
        <w:ind w:left="1620" w:hanging="1620"/>
        <w:jc w:val="both"/>
        <w:rPr>
          <w:rFonts w:ascii="Arial" w:hAnsi="Arial" w:cs="Arial"/>
          <w:sz w:val="20"/>
          <w:szCs w:val="20"/>
        </w:rPr>
      </w:pPr>
    </w:p>
    <w:p w:rsidR="0054556D" w:rsidRDefault="00354CAE" w:rsidP="0054556D">
      <w:pPr>
        <w:tabs>
          <w:tab w:val="left" w:pos="1620"/>
        </w:tabs>
        <w:ind w:left="2124" w:hanging="1620"/>
        <w:rPr>
          <w:rFonts w:ascii="Arial" w:hAnsi="Arial" w:cs="Arial"/>
          <w:sz w:val="20"/>
          <w:szCs w:val="20"/>
        </w:rPr>
      </w:pPr>
      <w:r w:rsidRPr="00354CAE">
        <w:rPr>
          <w:rFonts w:ascii="Arial" w:hAnsi="Arial" w:cs="Arial"/>
          <w:sz w:val="20"/>
          <w:szCs w:val="20"/>
        </w:rPr>
        <w:tab/>
      </w:r>
      <w:r w:rsidRPr="00354CAE">
        <w:rPr>
          <w:rFonts w:ascii="Arial" w:hAnsi="Arial" w:cs="Arial"/>
          <w:sz w:val="20"/>
          <w:szCs w:val="20"/>
        </w:rPr>
        <w:tab/>
      </w:r>
      <w:r w:rsidRPr="00354CAE">
        <w:rPr>
          <w:rFonts w:ascii="Arial" w:hAnsi="Arial" w:cs="Arial"/>
          <w:sz w:val="20"/>
          <w:szCs w:val="20"/>
        </w:rPr>
        <w:tab/>
      </w:r>
      <w:r w:rsidRPr="00354CAE">
        <w:rPr>
          <w:rFonts w:ascii="Arial" w:hAnsi="Arial" w:cs="Arial"/>
          <w:sz w:val="20"/>
          <w:szCs w:val="20"/>
        </w:rPr>
        <w:tab/>
      </w:r>
      <w:r w:rsidRPr="00354CAE">
        <w:rPr>
          <w:rFonts w:ascii="Arial" w:hAnsi="Arial" w:cs="Arial"/>
          <w:sz w:val="20"/>
          <w:szCs w:val="20"/>
        </w:rPr>
        <w:tab/>
      </w:r>
      <w:r w:rsidRPr="00354CAE">
        <w:rPr>
          <w:rFonts w:ascii="Arial" w:hAnsi="Arial" w:cs="Arial"/>
          <w:sz w:val="20"/>
          <w:szCs w:val="20"/>
        </w:rPr>
        <w:tab/>
      </w:r>
      <w:r w:rsidRPr="00354CAE">
        <w:rPr>
          <w:rFonts w:ascii="Arial" w:hAnsi="Arial" w:cs="Arial"/>
          <w:sz w:val="20"/>
          <w:szCs w:val="20"/>
        </w:rPr>
        <w:tab/>
      </w:r>
      <w:r w:rsidRPr="00354CAE">
        <w:rPr>
          <w:rFonts w:ascii="Arial" w:hAnsi="Arial" w:cs="Arial"/>
          <w:sz w:val="20"/>
          <w:szCs w:val="20"/>
        </w:rPr>
        <w:tab/>
      </w:r>
      <w:r w:rsidR="002B0FEC">
        <w:rPr>
          <w:rFonts w:ascii="Arial" w:hAnsi="Arial" w:cs="Arial"/>
          <w:sz w:val="20"/>
          <w:szCs w:val="20"/>
        </w:rPr>
        <w:t xml:space="preserve">Mgr. </w:t>
      </w:r>
      <w:r w:rsidR="00975B72">
        <w:rPr>
          <w:rFonts w:ascii="Arial" w:hAnsi="Arial" w:cs="Arial"/>
          <w:sz w:val="20"/>
          <w:szCs w:val="20"/>
        </w:rPr>
        <w:t xml:space="preserve">Bc. </w:t>
      </w:r>
      <w:r w:rsidR="0054556D">
        <w:rPr>
          <w:rFonts w:ascii="Arial" w:hAnsi="Arial" w:cs="Arial"/>
          <w:sz w:val="20"/>
          <w:szCs w:val="20"/>
        </w:rPr>
        <w:t>Pavel Vyškovský</w:t>
      </w:r>
      <w:r w:rsidR="0054556D">
        <w:rPr>
          <w:rFonts w:ascii="Arial" w:hAnsi="Arial" w:cs="Arial"/>
          <w:sz w:val="20"/>
          <w:szCs w:val="20"/>
        </w:rPr>
        <w:tab/>
      </w:r>
      <w:r w:rsidRPr="00354CAE">
        <w:rPr>
          <w:rFonts w:ascii="Arial" w:hAnsi="Arial" w:cs="Arial"/>
          <w:sz w:val="20"/>
          <w:szCs w:val="20"/>
        </w:rPr>
        <w:tab/>
      </w:r>
      <w:r w:rsidRPr="00354CAE">
        <w:rPr>
          <w:rFonts w:ascii="Arial" w:hAnsi="Arial" w:cs="Arial"/>
          <w:sz w:val="20"/>
          <w:szCs w:val="20"/>
        </w:rPr>
        <w:tab/>
      </w:r>
      <w:r w:rsidRPr="00354CAE">
        <w:rPr>
          <w:rFonts w:ascii="Arial" w:hAnsi="Arial" w:cs="Arial"/>
          <w:sz w:val="20"/>
          <w:szCs w:val="20"/>
        </w:rPr>
        <w:tab/>
      </w:r>
      <w:r w:rsidRPr="00354CAE">
        <w:rPr>
          <w:rFonts w:ascii="Arial" w:hAnsi="Arial" w:cs="Arial"/>
          <w:sz w:val="20"/>
          <w:szCs w:val="20"/>
        </w:rPr>
        <w:tab/>
      </w:r>
      <w:r w:rsidRPr="00354CAE">
        <w:rPr>
          <w:rFonts w:ascii="Arial" w:hAnsi="Arial" w:cs="Arial"/>
          <w:sz w:val="20"/>
          <w:szCs w:val="20"/>
        </w:rPr>
        <w:tab/>
      </w:r>
      <w:r w:rsidR="00975B72">
        <w:rPr>
          <w:rFonts w:ascii="Arial" w:hAnsi="Arial" w:cs="Arial"/>
          <w:sz w:val="20"/>
          <w:szCs w:val="20"/>
        </w:rPr>
        <w:tab/>
      </w:r>
      <w:r w:rsidR="00284CB3">
        <w:rPr>
          <w:rFonts w:ascii="Arial" w:hAnsi="Arial" w:cs="Arial"/>
          <w:sz w:val="20"/>
          <w:szCs w:val="20"/>
        </w:rPr>
        <w:t xml:space="preserve">vedoucí </w:t>
      </w:r>
      <w:r w:rsidR="0054556D">
        <w:rPr>
          <w:rFonts w:ascii="Arial" w:hAnsi="Arial" w:cs="Arial"/>
          <w:sz w:val="20"/>
          <w:szCs w:val="20"/>
        </w:rPr>
        <w:t xml:space="preserve">oddělení vymáhání     </w:t>
      </w:r>
    </w:p>
    <w:p w:rsidR="00354CAE" w:rsidRDefault="0054556D" w:rsidP="0054556D">
      <w:pPr>
        <w:tabs>
          <w:tab w:val="left" w:pos="1620"/>
        </w:tabs>
        <w:ind w:left="2124" w:hanging="162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975B72">
        <w:rPr>
          <w:rFonts w:ascii="Arial" w:hAnsi="Arial" w:cs="Arial"/>
          <w:sz w:val="20"/>
          <w:szCs w:val="20"/>
        </w:rPr>
        <w:t>p</w:t>
      </w:r>
      <w:r>
        <w:rPr>
          <w:rFonts w:ascii="Arial" w:hAnsi="Arial" w:cs="Arial"/>
          <w:sz w:val="20"/>
          <w:szCs w:val="20"/>
        </w:rPr>
        <w:t>ohledávek</w:t>
      </w:r>
      <w:r w:rsidR="007708FA">
        <w:rPr>
          <w:rFonts w:ascii="Arial" w:hAnsi="Arial" w:cs="Arial"/>
          <w:sz w:val="20"/>
          <w:szCs w:val="20"/>
        </w:rPr>
        <w:t xml:space="preserve"> na FO</w:t>
      </w:r>
    </w:p>
    <w:p w:rsidR="00C11910" w:rsidRDefault="00C11910" w:rsidP="0054556D">
      <w:pPr>
        <w:tabs>
          <w:tab w:val="left" w:pos="1620"/>
        </w:tabs>
        <w:ind w:left="2124" w:hanging="1620"/>
        <w:rPr>
          <w:rFonts w:ascii="Arial" w:hAnsi="Arial" w:cs="Arial"/>
          <w:sz w:val="20"/>
          <w:szCs w:val="20"/>
        </w:rPr>
      </w:pPr>
    </w:p>
    <w:p w:rsidR="00354CAE" w:rsidRPr="00354CAE" w:rsidRDefault="00C11910" w:rsidP="00BC0781">
      <w:pPr>
        <w:tabs>
          <w:tab w:val="left" w:pos="1620"/>
        </w:tabs>
        <w:ind w:left="2124" w:hanging="1620"/>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p>
    <w:p w:rsidR="0054556D" w:rsidRDefault="0054556D" w:rsidP="00354CAE">
      <w:pPr>
        <w:pBdr>
          <w:bottom w:val="single" w:sz="8" w:space="1" w:color="auto"/>
        </w:pBdr>
        <w:jc w:val="center"/>
        <w:rPr>
          <w:rFonts w:ascii="Arial" w:hAnsi="Arial" w:cs="Arial"/>
          <w:bCs/>
          <w:sz w:val="36"/>
          <w:szCs w:val="36"/>
        </w:rPr>
      </w:pPr>
    </w:p>
    <w:p w:rsidR="00354CAE" w:rsidRPr="00354CAE" w:rsidRDefault="00650D5D" w:rsidP="00354CAE">
      <w:pPr>
        <w:pBdr>
          <w:bottom w:val="single" w:sz="8" w:space="1" w:color="auto"/>
        </w:pBdr>
        <w:jc w:val="center"/>
        <w:rPr>
          <w:rFonts w:ascii="Arial" w:hAnsi="Arial" w:cs="Arial"/>
          <w:bCs/>
          <w:sz w:val="36"/>
          <w:szCs w:val="36"/>
        </w:rPr>
      </w:pPr>
      <w:r>
        <w:rPr>
          <w:rFonts w:ascii="Arial" w:hAnsi="Arial" w:cs="Arial"/>
          <w:bCs/>
          <w:sz w:val="36"/>
          <w:szCs w:val="36"/>
        </w:rPr>
        <w:t>Zasedání</w:t>
      </w:r>
      <w:r w:rsidR="00354CAE" w:rsidRPr="00354CAE">
        <w:rPr>
          <w:rFonts w:ascii="Arial" w:hAnsi="Arial" w:cs="Arial"/>
          <w:bCs/>
          <w:sz w:val="36"/>
          <w:szCs w:val="36"/>
        </w:rPr>
        <w:t xml:space="preserve"> </w:t>
      </w:r>
      <w:r w:rsidR="0054556D">
        <w:rPr>
          <w:rFonts w:ascii="Arial" w:hAnsi="Arial" w:cs="Arial"/>
          <w:bCs/>
          <w:sz w:val="36"/>
          <w:szCs w:val="36"/>
        </w:rPr>
        <w:t>Zastupitelstva</w:t>
      </w:r>
      <w:r w:rsidR="00354CAE" w:rsidRPr="00354CAE">
        <w:rPr>
          <w:rFonts w:ascii="Arial" w:hAnsi="Arial" w:cs="Arial"/>
          <w:bCs/>
          <w:sz w:val="36"/>
          <w:szCs w:val="36"/>
        </w:rPr>
        <w:t xml:space="preserve"> města Prostějova</w:t>
      </w:r>
    </w:p>
    <w:p w:rsidR="00354CAE" w:rsidRPr="00354CAE" w:rsidRDefault="00354CAE" w:rsidP="00354CAE">
      <w:pPr>
        <w:pBdr>
          <w:bottom w:val="single" w:sz="8" w:space="1" w:color="auto"/>
        </w:pBdr>
        <w:jc w:val="center"/>
        <w:rPr>
          <w:rFonts w:ascii="Arial" w:hAnsi="Arial" w:cs="Arial"/>
          <w:bCs/>
          <w:sz w:val="36"/>
          <w:szCs w:val="36"/>
        </w:rPr>
      </w:pPr>
      <w:r w:rsidRPr="00354CAE">
        <w:rPr>
          <w:rFonts w:ascii="Arial" w:hAnsi="Arial" w:cs="Arial"/>
          <w:bCs/>
          <w:sz w:val="36"/>
          <w:szCs w:val="36"/>
        </w:rPr>
        <w:t>konan</w:t>
      </w:r>
      <w:r w:rsidR="000847D3">
        <w:rPr>
          <w:rFonts w:ascii="Arial" w:hAnsi="Arial" w:cs="Arial"/>
          <w:bCs/>
          <w:sz w:val="36"/>
          <w:szCs w:val="36"/>
        </w:rPr>
        <w:t>é</w:t>
      </w:r>
      <w:bookmarkStart w:id="0" w:name="_GoBack"/>
      <w:bookmarkEnd w:id="0"/>
      <w:r w:rsidRPr="00354CAE">
        <w:rPr>
          <w:rFonts w:ascii="Arial" w:hAnsi="Arial" w:cs="Arial"/>
          <w:bCs/>
          <w:sz w:val="36"/>
          <w:szCs w:val="36"/>
        </w:rPr>
        <w:t xml:space="preserve"> dne </w:t>
      </w:r>
      <w:r w:rsidR="00F12935">
        <w:rPr>
          <w:rFonts w:ascii="Arial" w:hAnsi="Arial" w:cs="Arial"/>
          <w:bCs/>
          <w:sz w:val="36"/>
          <w:szCs w:val="36"/>
        </w:rPr>
        <w:t>3</w:t>
      </w:r>
      <w:r w:rsidR="0054556D">
        <w:rPr>
          <w:rFonts w:ascii="Arial" w:hAnsi="Arial" w:cs="Arial"/>
          <w:bCs/>
          <w:sz w:val="36"/>
          <w:szCs w:val="36"/>
        </w:rPr>
        <w:t xml:space="preserve">. </w:t>
      </w:r>
      <w:r w:rsidR="00F12935">
        <w:rPr>
          <w:rFonts w:ascii="Arial" w:hAnsi="Arial" w:cs="Arial"/>
          <w:bCs/>
          <w:sz w:val="36"/>
          <w:szCs w:val="36"/>
        </w:rPr>
        <w:t>12</w:t>
      </w:r>
      <w:r w:rsidR="0054556D">
        <w:rPr>
          <w:rFonts w:ascii="Arial" w:hAnsi="Arial" w:cs="Arial"/>
          <w:bCs/>
          <w:sz w:val="36"/>
          <w:szCs w:val="36"/>
        </w:rPr>
        <w:t>. 2019</w:t>
      </w:r>
    </w:p>
    <w:p w:rsidR="00710CAD" w:rsidRPr="00354CAE" w:rsidRDefault="00710CAD">
      <w:pPr>
        <w:tabs>
          <w:tab w:val="left" w:pos="1620"/>
        </w:tabs>
        <w:ind w:left="1620" w:hanging="1620"/>
        <w:jc w:val="both"/>
        <w:rPr>
          <w:rFonts w:ascii="Arial" w:hAnsi="Arial" w:cs="Arial"/>
          <w:bCs/>
          <w:sz w:val="20"/>
          <w:szCs w:val="20"/>
        </w:rPr>
      </w:pPr>
    </w:p>
    <w:p w:rsidR="00B948A1" w:rsidRPr="00710CAD" w:rsidRDefault="0054556D" w:rsidP="00BC0781">
      <w:pPr>
        <w:pBdr>
          <w:bottom w:val="single" w:sz="12" w:space="1" w:color="auto"/>
        </w:pBdr>
        <w:tabs>
          <w:tab w:val="left" w:pos="1620"/>
        </w:tabs>
        <w:ind w:left="1620" w:hanging="1620"/>
        <w:jc w:val="both"/>
        <w:rPr>
          <w:rFonts w:ascii="Arial" w:hAnsi="Arial" w:cs="Arial"/>
          <w:b/>
        </w:rPr>
      </w:pPr>
      <w:r>
        <w:rPr>
          <w:rFonts w:ascii="Arial" w:hAnsi="Arial" w:cs="Arial"/>
          <w:b/>
        </w:rPr>
        <w:t xml:space="preserve">Návrh obecně závazné vyhlášky </w:t>
      </w:r>
      <w:r w:rsidR="00BC0781" w:rsidRPr="00BC0781">
        <w:rPr>
          <w:rFonts w:ascii="Arial" w:hAnsi="Arial" w:cs="Arial"/>
          <w:b/>
        </w:rPr>
        <w:t>o regulaci provozování hazardních her</w:t>
      </w:r>
    </w:p>
    <w:p w:rsidR="00710CAD" w:rsidRPr="00354CAE" w:rsidRDefault="00710CAD" w:rsidP="00B948A1">
      <w:pPr>
        <w:pBdr>
          <w:bottom w:val="single" w:sz="12" w:space="1" w:color="auto"/>
        </w:pBdr>
        <w:tabs>
          <w:tab w:val="left" w:pos="1620"/>
        </w:tabs>
        <w:ind w:left="1620" w:hanging="1620"/>
        <w:jc w:val="both"/>
        <w:rPr>
          <w:rFonts w:ascii="Arial" w:hAnsi="Arial" w:cs="Arial"/>
          <w:b/>
          <w:sz w:val="20"/>
          <w:szCs w:val="20"/>
        </w:rPr>
      </w:pPr>
    </w:p>
    <w:p w:rsidR="00354CAE" w:rsidRPr="00354CAE" w:rsidRDefault="00354CAE">
      <w:pPr>
        <w:pStyle w:val="Zkladntext"/>
        <w:tabs>
          <w:tab w:val="clear" w:pos="0"/>
        </w:tabs>
        <w:rPr>
          <w:rFonts w:ascii="Arial" w:hAnsi="Arial" w:cs="Arial"/>
          <w:szCs w:val="20"/>
        </w:rPr>
      </w:pPr>
    </w:p>
    <w:p w:rsidR="00C52E3C" w:rsidRPr="00354CAE" w:rsidRDefault="00C52E3C">
      <w:pPr>
        <w:pStyle w:val="Zkladntext"/>
        <w:tabs>
          <w:tab w:val="clear" w:pos="0"/>
        </w:tabs>
        <w:rPr>
          <w:rFonts w:ascii="Arial" w:hAnsi="Arial" w:cs="Arial"/>
          <w:szCs w:val="20"/>
        </w:rPr>
      </w:pPr>
      <w:r w:rsidRPr="00354CAE">
        <w:rPr>
          <w:rFonts w:ascii="Arial" w:hAnsi="Arial" w:cs="Arial"/>
          <w:szCs w:val="20"/>
        </w:rPr>
        <w:t>Návrh usnesení:</w:t>
      </w:r>
    </w:p>
    <w:p w:rsidR="00D1621E" w:rsidRDefault="00D1621E" w:rsidP="00B8533E">
      <w:pPr>
        <w:rPr>
          <w:rFonts w:ascii="Arial" w:hAnsi="Arial" w:cs="Arial"/>
          <w:b/>
        </w:rPr>
      </w:pPr>
    </w:p>
    <w:p w:rsidR="00C52E3C" w:rsidRPr="00B8533E" w:rsidRDefault="0054556D" w:rsidP="00B8533E">
      <w:pPr>
        <w:rPr>
          <w:rFonts w:ascii="Arial" w:hAnsi="Arial" w:cs="Arial"/>
          <w:b/>
        </w:rPr>
      </w:pPr>
      <w:r>
        <w:rPr>
          <w:rFonts w:ascii="Arial" w:hAnsi="Arial" w:cs="Arial"/>
          <w:b/>
        </w:rPr>
        <w:t xml:space="preserve">Zastupitelstvo </w:t>
      </w:r>
      <w:r w:rsidR="00D1621E">
        <w:rPr>
          <w:rFonts w:ascii="Arial" w:hAnsi="Arial" w:cs="Arial"/>
          <w:b/>
        </w:rPr>
        <w:t>města Prostějova</w:t>
      </w:r>
      <w:r w:rsidR="00BC0781">
        <w:rPr>
          <w:rFonts w:ascii="Arial" w:hAnsi="Arial" w:cs="Arial"/>
          <w:b/>
        </w:rPr>
        <w:t xml:space="preserve"> </w:t>
      </w:r>
    </w:p>
    <w:p w:rsidR="000E4C34" w:rsidRDefault="000E4C34" w:rsidP="00C560D7">
      <w:pPr>
        <w:tabs>
          <w:tab w:val="left" w:pos="-284"/>
          <w:tab w:val="left" w:pos="360"/>
        </w:tabs>
        <w:ind w:left="284" w:hanging="284"/>
        <w:jc w:val="both"/>
        <w:rPr>
          <w:rFonts w:ascii="Arial" w:hAnsi="Arial" w:cs="Arial"/>
          <w:bCs/>
          <w:sz w:val="20"/>
          <w:szCs w:val="20"/>
        </w:rPr>
      </w:pPr>
    </w:p>
    <w:p w:rsidR="00E6619E" w:rsidRDefault="00E6619E" w:rsidP="00C560D7">
      <w:pPr>
        <w:tabs>
          <w:tab w:val="left" w:pos="-284"/>
          <w:tab w:val="left" w:pos="360"/>
        </w:tabs>
        <w:ind w:left="284" w:hanging="284"/>
        <w:jc w:val="both"/>
        <w:rPr>
          <w:rFonts w:ascii="Arial" w:hAnsi="Arial" w:cs="Arial"/>
          <w:bCs/>
          <w:sz w:val="20"/>
          <w:szCs w:val="20"/>
        </w:rPr>
      </w:pPr>
    </w:p>
    <w:p w:rsidR="00F530AD" w:rsidRPr="00F530AD" w:rsidRDefault="00F530AD" w:rsidP="00F530AD">
      <w:pPr>
        <w:pStyle w:val="Bezmezer"/>
        <w:jc w:val="both"/>
        <w:rPr>
          <w:rFonts w:cs="Arial"/>
          <w:b/>
          <w:szCs w:val="24"/>
        </w:rPr>
      </w:pPr>
      <w:r w:rsidRPr="00F530AD">
        <w:rPr>
          <w:rFonts w:cs="Arial"/>
          <w:b/>
          <w:bCs/>
          <w:szCs w:val="24"/>
        </w:rPr>
        <w:t xml:space="preserve">v y d á v á </w:t>
      </w:r>
    </w:p>
    <w:p w:rsidR="00F530AD" w:rsidRPr="00F530AD" w:rsidRDefault="00F530AD" w:rsidP="00F530AD">
      <w:pPr>
        <w:spacing w:after="120"/>
        <w:rPr>
          <w:rFonts w:ascii="Arial" w:hAnsi="Arial" w:cs="Arial"/>
          <w:b/>
        </w:rPr>
      </w:pPr>
      <w:r w:rsidRPr="00F530AD">
        <w:rPr>
          <w:rFonts w:ascii="Arial" w:hAnsi="Arial" w:cs="Arial"/>
          <w:b/>
          <w:bCs/>
        </w:rPr>
        <w:t xml:space="preserve">obecně závaznou vyhlášku </w:t>
      </w:r>
      <w:r w:rsidR="00F46CAE">
        <w:rPr>
          <w:rFonts w:ascii="Arial" w:hAnsi="Arial" w:cs="Arial"/>
          <w:b/>
          <w:bCs/>
        </w:rPr>
        <w:t xml:space="preserve">o </w:t>
      </w:r>
      <w:r w:rsidR="00BC0781" w:rsidRPr="00BC0781">
        <w:rPr>
          <w:rFonts w:ascii="Arial" w:hAnsi="Arial" w:cs="Arial"/>
          <w:b/>
        </w:rPr>
        <w:t>regulaci provozování hazardních her</w:t>
      </w:r>
      <w:r w:rsidR="007B58E9" w:rsidRPr="007B58E9">
        <w:rPr>
          <w:rFonts w:ascii="Arial" w:hAnsi="Arial" w:cs="Arial"/>
          <w:b/>
        </w:rPr>
        <w:t xml:space="preserve"> </w:t>
      </w:r>
      <w:r w:rsidR="0085255A">
        <w:rPr>
          <w:rFonts w:ascii="Arial" w:hAnsi="Arial" w:cs="Arial"/>
          <w:b/>
          <w:bCs/>
        </w:rPr>
        <w:t xml:space="preserve">ve znění přílohy č. </w:t>
      </w:r>
      <w:r w:rsidR="00F12935">
        <w:rPr>
          <w:rFonts w:ascii="Arial" w:hAnsi="Arial" w:cs="Arial"/>
          <w:b/>
          <w:bCs/>
        </w:rPr>
        <w:t>1</w:t>
      </w:r>
      <w:r w:rsidR="00BC0781">
        <w:rPr>
          <w:rFonts w:ascii="Arial" w:hAnsi="Arial" w:cs="Arial"/>
          <w:b/>
          <w:bCs/>
        </w:rPr>
        <w:t xml:space="preserve"> tohoto</w:t>
      </w:r>
      <w:r w:rsidR="00B9414E">
        <w:rPr>
          <w:rFonts w:ascii="Arial" w:hAnsi="Arial" w:cs="Arial"/>
          <w:b/>
          <w:bCs/>
        </w:rPr>
        <w:t xml:space="preserve"> materiálu</w:t>
      </w:r>
      <w:r w:rsidRPr="00F530AD">
        <w:rPr>
          <w:rFonts w:ascii="Arial" w:hAnsi="Arial" w:cs="Arial"/>
          <w:b/>
          <w:bCs/>
        </w:rPr>
        <w:t xml:space="preserve"> </w:t>
      </w:r>
      <w:r w:rsidR="00BC0781">
        <w:rPr>
          <w:rFonts w:ascii="Arial" w:hAnsi="Arial" w:cs="Arial"/>
          <w:b/>
          <w:bCs/>
        </w:rPr>
        <w:t>s účinností od 1. 2</w:t>
      </w:r>
      <w:r>
        <w:rPr>
          <w:rFonts w:ascii="Arial" w:hAnsi="Arial" w:cs="Arial"/>
          <w:b/>
          <w:bCs/>
        </w:rPr>
        <w:t xml:space="preserve">. 2020. </w:t>
      </w:r>
    </w:p>
    <w:p w:rsidR="00D1621E" w:rsidRDefault="00D1621E" w:rsidP="00C560D7">
      <w:pPr>
        <w:tabs>
          <w:tab w:val="left" w:pos="-284"/>
          <w:tab w:val="left" w:pos="360"/>
        </w:tabs>
        <w:ind w:left="284" w:hanging="284"/>
        <w:jc w:val="both"/>
        <w:rPr>
          <w:rFonts w:ascii="Arial" w:hAnsi="Arial" w:cs="Arial"/>
          <w:bCs/>
          <w:sz w:val="20"/>
          <w:szCs w:val="20"/>
        </w:rPr>
      </w:pPr>
    </w:p>
    <w:p w:rsidR="00284CB3" w:rsidRDefault="00284CB3" w:rsidP="00C560D7">
      <w:pPr>
        <w:tabs>
          <w:tab w:val="left" w:pos="-284"/>
          <w:tab w:val="left" w:pos="360"/>
        </w:tabs>
        <w:ind w:left="284" w:hanging="284"/>
        <w:jc w:val="both"/>
        <w:rPr>
          <w:rFonts w:ascii="Arial" w:hAnsi="Arial" w:cs="Arial"/>
          <w:bCs/>
          <w:sz w:val="20"/>
          <w:szCs w:val="20"/>
        </w:rPr>
      </w:pPr>
    </w:p>
    <w:p w:rsidR="00284CB3" w:rsidRDefault="00284CB3" w:rsidP="002B0FEC">
      <w:pPr>
        <w:tabs>
          <w:tab w:val="left" w:pos="-284"/>
          <w:tab w:val="left" w:pos="360"/>
          <w:tab w:val="left" w:pos="1985"/>
        </w:tabs>
        <w:ind w:left="284" w:hanging="284"/>
        <w:jc w:val="center"/>
        <w:rPr>
          <w:rFonts w:ascii="Arial" w:hAnsi="Arial" w:cs="Arial"/>
          <w:bCs/>
          <w:sz w:val="20"/>
          <w:szCs w:val="20"/>
        </w:rPr>
      </w:pPr>
    </w:p>
    <w:tbl>
      <w:tblPr>
        <w:tblStyle w:val="Mkatabulky"/>
        <w:tblpPr w:leftFromText="141" w:rightFromText="141" w:vertAnchor="text" w:horzAnchor="margin" w:tblpY="67"/>
        <w:tblW w:w="9668" w:type="dxa"/>
        <w:tblLook w:val="04A0" w:firstRow="1" w:lastRow="0" w:firstColumn="1" w:lastColumn="0" w:noHBand="0" w:noVBand="1"/>
      </w:tblPr>
      <w:tblGrid>
        <w:gridCol w:w="2314"/>
        <w:gridCol w:w="3607"/>
        <w:gridCol w:w="1488"/>
        <w:gridCol w:w="2259"/>
      </w:tblGrid>
      <w:tr w:rsidR="002B0FEC" w:rsidRPr="002B0FEC" w:rsidTr="005A210E">
        <w:trPr>
          <w:trHeight w:val="230"/>
        </w:trPr>
        <w:tc>
          <w:tcPr>
            <w:tcW w:w="9668" w:type="dxa"/>
            <w:gridSpan w:val="4"/>
          </w:tcPr>
          <w:p w:rsidR="002B0FEC" w:rsidRPr="002B0FEC" w:rsidRDefault="002B0FEC" w:rsidP="002B0FEC">
            <w:pPr>
              <w:tabs>
                <w:tab w:val="left" w:pos="-284"/>
                <w:tab w:val="left" w:pos="360"/>
                <w:tab w:val="left" w:pos="1985"/>
              </w:tabs>
              <w:ind w:left="284" w:hanging="284"/>
              <w:jc w:val="center"/>
              <w:rPr>
                <w:rFonts w:ascii="Arial" w:hAnsi="Arial" w:cs="Arial"/>
                <w:bCs/>
                <w:sz w:val="20"/>
                <w:szCs w:val="20"/>
              </w:rPr>
            </w:pPr>
            <w:r w:rsidRPr="002B0FEC">
              <w:rPr>
                <w:rFonts w:ascii="Arial" w:hAnsi="Arial" w:cs="Arial"/>
                <w:bCs/>
                <w:sz w:val="20"/>
                <w:szCs w:val="20"/>
              </w:rPr>
              <w:t>P o d p i s y</w:t>
            </w:r>
          </w:p>
        </w:tc>
      </w:tr>
      <w:tr w:rsidR="002B0FEC" w:rsidRPr="002B0FEC" w:rsidTr="005A210E">
        <w:trPr>
          <w:trHeight w:val="460"/>
        </w:trPr>
        <w:tc>
          <w:tcPr>
            <w:tcW w:w="2314" w:type="dxa"/>
          </w:tcPr>
          <w:p w:rsidR="002B0FEC" w:rsidRPr="002B0FEC" w:rsidRDefault="002B0FEC" w:rsidP="002B0FEC">
            <w:pPr>
              <w:tabs>
                <w:tab w:val="left" w:pos="-284"/>
                <w:tab w:val="left" w:pos="360"/>
              </w:tabs>
              <w:ind w:left="284" w:hanging="284"/>
              <w:jc w:val="both"/>
              <w:rPr>
                <w:rFonts w:ascii="Arial" w:hAnsi="Arial" w:cs="Arial"/>
                <w:bCs/>
                <w:sz w:val="20"/>
                <w:szCs w:val="20"/>
              </w:rPr>
            </w:pPr>
          </w:p>
          <w:p w:rsidR="002B0FEC" w:rsidRPr="002B0FEC" w:rsidRDefault="002B0FEC" w:rsidP="002B0FEC">
            <w:pPr>
              <w:tabs>
                <w:tab w:val="left" w:pos="-284"/>
                <w:tab w:val="left" w:pos="360"/>
              </w:tabs>
              <w:ind w:left="284" w:hanging="284"/>
              <w:jc w:val="both"/>
              <w:rPr>
                <w:rFonts w:ascii="Arial" w:hAnsi="Arial" w:cs="Arial"/>
                <w:bCs/>
                <w:sz w:val="20"/>
                <w:szCs w:val="20"/>
              </w:rPr>
            </w:pPr>
            <w:r w:rsidRPr="002B0FEC">
              <w:rPr>
                <w:rFonts w:ascii="Arial" w:hAnsi="Arial" w:cs="Arial"/>
                <w:bCs/>
                <w:sz w:val="20"/>
                <w:szCs w:val="20"/>
              </w:rPr>
              <w:t>Předkladatel</w:t>
            </w:r>
          </w:p>
        </w:tc>
        <w:tc>
          <w:tcPr>
            <w:tcW w:w="3607" w:type="dxa"/>
          </w:tcPr>
          <w:p w:rsidR="002B0FEC" w:rsidRPr="002B0FEC" w:rsidRDefault="002B0FEC" w:rsidP="002B0FEC">
            <w:pPr>
              <w:tabs>
                <w:tab w:val="left" w:pos="-284"/>
                <w:tab w:val="left" w:pos="360"/>
              </w:tabs>
              <w:ind w:left="284" w:hanging="284"/>
              <w:rPr>
                <w:rFonts w:ascii="Arial" w:hAnsi="Arial" w:cs="Arial"/>
                <w:bCs/>
                <w:i/>
                <w:sz w:val="20"/>
                <w:szCs w:val="20"/>
              </w:rPr>
            </w:pPr>
          </w:p>
          <w:p w:rsidR="002B0FEC" w:rsidRPr="002B0FEC" w:rsidRDefault="002B0FEC" w:rsidP="002B0FEC">
            <w:pPr>
              <w:tabs>
                <w:tab w:val="left" w:pos="-284"/>
                <w:tab w:val="left" w:pos="360"/>
              </w:tabs>
              <w:ind w:left="284" w:hanging="284"/>
              <w:rPr>
                <w:rFonts w:ascii="Arial" w:hAnsi="Arial" w:cs="Arial"/>
                <w:bCs/>
                <w:i/>
                <w:sz w:val="20"/>
                <w:szCs w:val="20"/>
              </w:rPr>
            </w:pPr>
            <w:r w:rsidRPr="002B0FEC">
              <w:rPr>
                <w:rFonts w:ascii="Arial" w:hAnsi="Arial" w:cs="Arial"/>
                <w:bCs/>
                <w:i/>
                <w:sz w:val="20"/>
                <w:szCs w:val="20"/>
              </w:rPr>
              <w:t>Mgr. František Jura, primátor</w:t>
            </w:r>
          </w:p>
        </w:tc>
        <w:tc>
          <w:tcPr>
            <w:tcW w:w="1488" w:type="dxa"/>
          </w:tcPr>
          <w:p w:rsidR="002B0FEC" w:rsidRPr="002B0FEC" w:rsidRDefault="002B0FEC" w:rsidP="002B0FEC">
            <w:pPr>
              <w:tabs>
                <w:tab w:val="left" w:pos="-284"/>
                <w:tab w:val="left" w:pos="360"/>
              </w:tabs>
              <w:ind w:left="284" w:hanging="284"/>
              <w:jc w:val="both"/>
              <w:rPr>
                <w:rFonts w:ascii="Arial" w:hAnsi="Arial" w:cs="Arial"/>
                <w:bCs/>
                <w:i/>
                <w:sz w:val="20"/>
                <w:szCs w:val="20"/>
              </w:rPr>
            </w:pPr>
            <w:r w:rsidRPr="002B0FEC">
              <w:rPr>
                <w:rFonts w:ascii="Arial" w:hAnsi="Arial" w:cs="Arial"/>
                <w:bCs/>
                <w:i/>
                <w:sz w:val="20"/>
                <w:szCs w:val="20"/>
              </w:rPr>
              <w:t>20. 11. 2019</w:t>
            </w:r>
          </w:p>
        </w:tc>
        <w:tc>
          <w:tcPr>
            <w:tcW w:w="2258" w:type="dxa"/>
          </w:tcPr>
          <w:p w:rsidR="00A8204B" w:rsidRDefault="005F39E8" w:rsidP="002B0FEC">
            <w:pPr>
              <w:tabs>
                <w:tab w:val="left" w:pos="-284"/>
                <w:tab w:val="left" w:pos="0"/>
              </w:tabs>
              <w:ind w:left="284" w:hanging="284"/>
              <w:rPr>
                <w:rFonts w:ascii="Arial" w:hAnsi="Arial" w:cs="Arial"/>
                <w:bCs/>
                <w:i/>
                <w:sz w:val="20"/>
                <w:szCs w:val="20"/>
              </w:rPr>
            </w:pPr>
            <w:r>
              <w:rPr>
                <w:rFonts w:ascii="Arial" w:hAnsi="Arial" w:cs="Arial"/>
                <w:bCs/>
                <w:i/>
                <w:sz w:val="20"/>
                <w:szCs w:val="20"/>
              </w:rPr>
              <w:t>Mgr. František Jura</w:t>
            </w:r>
            <w:r w:rsidR="00A8204B">
              <w:rPr>
                <w:rFonts w:ascii="Arial" w:hAnsi="Arial" w:cs="Arial"/>
                <w:bCs/>
                <w:i/>
                <w:sz w:val="20"/>
                <w:szCs w:val="20"/>
              </w:rPr>
              <w:t xml:space="preserve">, </w:t>
            </w:r>
          </w:p>
          <w:p w:rsidR="005A210E" w:rsidRDefault="00A8204B" w:rsidP="002B0FEC">
            <w:pPr>
              <w:tabs>
                <w:tab w:val="left" w:pos="-284"/>
                <w:tab w:val="left" w:pos="0"/>
              </w:tabs>
              <w:ind w:left="284" w:hanging="284"/>
              <w:rPr>
                <w:rFonts w:ascii="Arial" w:hAnsi="Arial" w:cs="Arial"/>
                <w:bCs/>
                <w:i/>
                <w:sz w:val="20"/>
                <w:szCs w:val="20"/>
              </w:rPr>
            </w:pPr>
            <w:r>
              <w:rPr>
                <w:rFonts w:ascii="Arial" w:hAnsi="Arial" w:cs="Arial"/>
                <w:bCs/>
                <w:i/>
                <w:sz w:val="20"/>
                <w:szCs w:val="20"/>
              </w:rPr>
              <w:t>v.r.</w:t>
            </w:r>
          </w:p>
          <w:p w:rsidR="002B0FEC" w:rsidRPr="002B0FEC" w:rsidRDefault="002B0FEC" w:rsidP="002B0FEC">
            <w:pPr>
              <w:tabs>
                <w:tab w:val="left" w:pos="-284"/>
                <w:tab w:val="left" w:pos="0"/>
              </w:tabs>
              <w:ind w:left="284" w:hanging="284"/>
              <w:rPr>
                <w:rFonts w:ascii="Arial" w:hAnsi="Arial" w:cs="Arial"/>
                <w:bCs/>
                <w:i/>
                <w:sz w:val="20"/>
                <w:szCs w:val="20"/>
              </w:rPr>
            </w:pPr>
          </w:p>
        </w:tc>
      </w:tr>
      <w:tr w:rsidR="002B0FEC" w:rsidRPr="002B0FEC" w:rsidTr="005A210E">
        <w:trPr>
          <w:trHeight w:val="706"/>
        </w:trPr>
        <w:tc>
          <w:tcPr>
            <w:tcW w:w="2314" w:type="dxa"/>
          </w:tcPr>
          <w:p w:rsidR="002B0FEC" w:rsidRPr="002B0FEC" w:rsidRDefault="002B0FEC" w:rsidP="002B0FEC">
            <w:pPr>
              <w:tabs>
                <w:tab w:val="left" w:pos="-284"/>
                <w:tab w:val="left" w:pos="360"/>
              </w:tabs>
              <w:ind w:left="284" w:hanging="284"/>
              <w:jc w:val="both"/>
              <w:rPr>
                <w:rFonts w:ascii="Arial" w:hAnsi="Arial" w:cs="Arial"/>
                <w:bCs/>
                <w:sz w:val="20"/>
                <w:szCs w:val="20"/>
              </w:rPr>
            </w:pPr>
          </w:p>
          <w:p w:rsidR="002B0FEC" w:rsidRPr="002B0FEC" w:rsidRDefault="002B0FEC" w:rsidP="002B0FEC">
            <w:pPr>
              <w:tabs>
                <w:tab w:val="left" w:pos="-284"/>
                <w:tab w:val="left" w:pos="360"/>
              </w:tabs>
              <w:ind w:left="284" w:hanging="284"/>
              <w:jc w:val="both"/>
              <w:rPr>
                <w:rFonts w:ascii="Arial" w:hAnsi="Arial" w:cs="Arial"/>
                <w:bCs/>
                <w:sz w:val="20"/>
                <w:szCs w:val="20"/>
              </w:rPr>
            </w:pPr>
            <w:r w:rsidRPr="002B0FEC">
              <w:rPr>
                <w:rFonts w:ascii="Arial" w:hAnsi="Arial" w:cs="Arial"/>
                <w:bCs/>
                <w:sz w:val="20"/>
                <w:szCs w:val="20"/>
              </w:rPr>
              <w:t>Za správnost</w:t>
            </w:r>
          </w:p>
        </w:tc>
        <w:tc>
          <w:tcPr>
            <w:tcW w:w="3607" w:type="dxa"/>
          </w:tcPr>
          <w:p w:rsidR="002B0FEC" w:rsidRPr="002B0FEC" w:rsidRDefault="002B0FEC" w:rsidP="002B0FEC">
            <w:pPr>
              <w:tabs>
                <w:tab w:val="left" w:pos="-284"/>
                <w:tab w:val="left" w:pos="360"/>
              </w:tabs>
              <w:ind w:left="284" w:hanging="284"/>
              <w:rPr>
                <w:rFonts w:ascii="Arial" w:hAnsi="Arial" w:cs="Arial"/>
                <w:bCs/>
                <w:i/>
                <w:sz w:val="20"/>
                <w:szCs w:val="20"/>
              </w:rPr>
            </w:pPr>
          </w:p>
          <w:p w:rsidR="002B0FEC" w:rsidRPr="002B0FEC" w:rsidRDefault="002B0FEC" w:rsidP="002B0FEC">
            <w:pPr>
              <w:tabs>
                <w:tab w:val="left" w:pos="-284"/>
                <w:tab w:val="left" w:pos="0"/>
              </w:tabs>
              <w:rPr>
                <w:rFonts w:ascii="Arial" w:hAnsi="Arial" w:cs="Arial"/>
                <w:bCs/>
                <w:i/>
                <w:sz w:val="20"/>
                <w:szCs w:val="20"/>
              </w:rPr>
            </w:pPr>
            <w:r w:rsidRPr="002B0FEC">
              <w:rPr>
                <w:rFonts w:ascii="Arial" w:hAnsi="Arial" w:cs="Arial"/>
                <w:bCs/>
                <w:i/>
                <w:sz w:val="20"/>
                <w:szCs w:val="20"/>
              </w:rPr>
              <w:t>Ing. Radim Carda, vedoucí Finančního odboru MMPv</w:t>
            </w:r>
          </w:p>
        </w:tc>
        <w:tc>
          <w:tcPr>
            <w:tcW w:w="1488" w:type="dxa"/>
          </w:tcPr>
          <w:p w:rsidR="002B0FEC" w:rsidRPr="002B0FEC" w:rsidRDefault="002B0FEC" w:rsidP="002B0FEC">
            <w:pPr>
              <w:tabs>
                <w:tab w:val="left" w:pos="-284"/>
                <w:tab w:val="left" w:pos="360"/>
              </w:tabs>
              <w:ind w:left="284" w:hanging="284"/>
              <w:jc w:val="both"/>
              <w:rPr>
                <w:rFonts w:ascii="Arial" w:hAnsi="Arial" w:cs="Arial"/>
                <w:bCs/>
                <w:i/>
                <w:sz w:val="20"/>
                <w:szCs w:val="20"/>
              </w:rPr>
            </w:pPr>
            <w:r w:rsidRPr="002B0FEC">
              <w:rPr>
                <w:rFonts w:ascii="Arial" w:hAnsi="Arial" w:cs="Arial"/>
                <w:bCs/>
                <w:i/>
                <w:sz w:val="20"/>
                <w:szCs w:val="20"/>
              </w:rPr>
              <w:t>20. 11. 2019</w:t>
            </w:r>
          </w:p>
        </w:tc>
        <w:tc>
          <w:tcPr>
            <w:tcW w:w="2258" w:type="dxa"/>
          </w:tcPr>
          <w:p w:rsidR="002B0FEC" w:rsidRPr="002B0FEC" w:rsidRDefault="005A210E" w:rsidP="003401AD">
            <w:pPr>
              <w:tabs>
                <w:tab w:val="left" w:pos="-284"/>
                <w:tab w:val="left" w:pos="0"/>
              </w:tabs>
              <w:ind w:left="284" w:hanging="284"/>
              <w:rPr>
                <w:rFonts w:ascii="Arial" w:hAnsi="Arial" w:cs="Arial"/>
                <w:bCs/>
                <w:i/>
                <w:sz w:val="20"/>
                <w:szCs w:val="20"/>
              </w:rPr>
            </w:pPr>
            <w:r>
              <w:rPr>
                <w:rFonts w:ascii="Arial" w:hAnsi="Arial" w:cs="Arial"/>
                <w:bCs/>
                <w:i/>
                <w:sz w:val="20"/>
                <w:szCs w:val="20"/>
              </w:rPr>
              <w:t>Ing. Radim Carda</w:t>
            </w:r>
            <w:r w:rsidR="00A8204B">
              <w:rPr>
                <w:rFonts w:ascii="Arial" w:hAnsi="Arial" w:cs="Arial"/>
                <w:bCs/>
                <w:i/>
                <w:sz w:val="20"/>
                <w:szCs w:val="20"/>
              </w:rPr>
              <w:t>, v.r.</w:t>
            </w:r>
          </w:p>
        </w:tc>
      </w:tr>
      <w:tr w:rsidR="002B0FEC" w:rsidRPr="002B0FEC" w:rsidTr="005A210E">
        <w:trPr>
          <w:trHeight w:val="1007"/>
        </w:trPr>
        <w:tc>
          <w:tcPr>
            <w:tcW w:w="2314" w:type="dxa"/>
          </w:tcPr>
          <w:p w:rsidR="002B0FEC" w:rsidRPr="002B0FEC" w:rsidRDefault="002B0FEC" w:rsidP="002B0FEC">
            <w:pPr>
              <w:tabs>
                <w:tab w:val="left" w:pos="-284"/>
                <w:tab w:val="left" w:pos="360"/>
              </w:tabs>
              <w:ind w:left="284" w:hanging="284"/>
              <w:jc w:val="both"/>
              <w:rPr>
                <w:rFonts w:ascii="Arial" w:hAnsi="Arial" w:cs="Arial"/>
                <w:bCs/>
                <w:sz w:val="20"/>
                <w:szCs w:val="20"/>
              </w:rPr>
            </w:pPr>
          </w:p>
          <w:p w:rsidR="002B0FEC" w:rsidRPr="002B0FEC" w:rsidRDefault="002B0FEC" w:rsidP="002B0FEC">
            <w:pPr>
              <w:tabs>
                <w:tab w:val="left" w:pos="-284"/>
                <w:tab w:val="left" w:pos="360"/>
              </w:tabs>
              <w:ind w:left="284" w:hanging="284"/>
              <w:jc w:val="both"/>
              <w:rPr>
                <w:rFonts w:ascii="Arial" w:hAnsi="Arial" w:cs="Arial"/>
                <w:bCs/>
                <w:sz w:val="20"/>
                <w:szCs w:val="20"/>
              </w:rPr>
            </w:pPr>
            <w:r w:rsidRPr="002B0FEC">
              <w:rPr>
                <w:rFonts w:ascii="Arial" w:hAnsi="Arial" w:cs="Arial"/>
                <w:bCs/>
                <w:sz w:val="20"/>
                <w:szCs w:val="20"/>
              </w:rPr>
              <w:t>Zpracovatelé</w:t>
            </w:r>
          </w:p>
        </w:tc>
        <w:tc>
          <w:tcPr>
            <w:tcW w:w="3607" w:type="dxa"/>
          </w:tcPr>
          <w:p w:rsidR="002B0FEC" w:rsidRPr="002B0FEC" w:rsidRDefault="002B0FEC" w:rsidP="002B0FEC">
            <w:pPr>
              <w:tabs>
                <w:tab w:val="left" w:pos="-284"/>
                <w:tab w:val="left" w:pos="360"/>
              </w:tabs>
              <w:ind w:left="284" w:hanging="284"/>
              <w:rPr>
                <w:rFonts w:ascii="Arial" w:hAnsi="Arial" w:cs="Arial"/>
                <w:bCs/>
                <w:i/>
                <w:sz w:val="20"/>
                <w:szCs w:val="20"/>
              </w:rPr>
            </w:pPr>
          </w:p>
          <w:p w:rsidR="002B0FEC" w:rsidRPr="002B0FEC" w:rsidRDefault="002B0FEC" w:rsidP="00BC0781">
            <w:pPr>
              <w:tabs>
                <w:tab w:val="left" w:pos="-284"/>
                <w:tab w:val="left" w:pos="65"/>
              </w:tabs>
              <w:rPr>
                <w:rFonts w:ascii="Arial" w:hAnsi="Arial" w:cs="Arial"/>
                <w:bCs/>
                <w:i/>
                <w:sz w:val="20"/>
                <w:szCs w:val="20"/>
              </w:rPr>
            </w:pPr>
            <w:r w:rsidRPr="002B0FEC">
              <w:rPr>
                <w:rFonts w:ascii="Arial" w:hAnsi="Arial" w:cs="Arial"/>
                <w:bCs/>
                <w:i/>
                <w:sz w:val="20"/>
                <w:szCs w:val="20"/>
              </w:rPr>
              <w:t xml:space="preserve">Mgr. Bc. </w:t>
            </w:r>
            <w:r>
              <w:rPr>
                <w:rFonts w:ascii="Arial" w:hAnsi="Arial" w:cs="Arial"/>
                <w:bCs/>
                <w:i/>
                <w:sz w:val="20"/>
                <w:szCs w:val="20"/>
              </w:rPr>
              <w:t xml:space="preserve">Pavel Vyškovský, vedoucí </w:t>
            </w:r>
            <w:r w:rsidRPr="002B0FEC">
              <w:rPr>
                <w:rFonts w:ascii="Arial" w:hAnsi="Arial" w:cs="Arial"/>
                <w:bCs/>
                <w:i/>
                <w:sz w:val="20"/>
                <w:szCs w:val="20"/>
              </w:rPr>
              <w:t>oddělení vymáhání pohledávek na FO</w:t>
            </w:r>
          </w:p>
        </w:tc>
        <w:tc>
          <w:tcPr>
            <w:tcW w:w="1488" w:type="dxa"/>
          </w:tcPr>
          <w:p w:rsidR="002B0FEC" w:rsidRPr="002B0FEC" w:rsidRDefault="002B0FEC" w:rsidP="00BC0781">
            <w:pPr>
              <w:tabs>
                <w:tab w:val="left" w:pos="-284"/>
                <w:tab w:val="left" w:pos="360"/>
              </w:tabs>
              <w:jc w:val="both"/>
              <w:rPr>
                <w:rFonts w:ascii="Arial" w:hAnsi="Arial" w:cs="Arial"/>
                <w:bCs/>
                <w:i/>
                <w:sz w:val="20"/>
                <w:szCs w:val="20"/>
              </w:rPr>
            </w:pPr>
            <w:r w:rsidRPr="002B0FEC">
              <w:rPr>
                <w:rFonts w:ascii="Arial" w:hAnsi="Arial" w:cs="Arial"/>
                <w:bCs/>
                <w:i/>
                <w:sz w:val="20"/>
                <w:szCs w:val="20"/>
              </w:rPr>
              <w:t>20. 11. 2019</w:t>
            </w:r>
          </w:p>
        </w:tc>
        <w:tc>
          <w:tcPr>
            <w:tcW w:w="2258" w:type="dxa"/>
          </w:tcPr>
          <w:p w:rsidR="005A210E" w:rsidRDefault="005A210E" w:rsidP="002B0FEC">
            <w:pPr>
              <w:tabs>
                <w:tab w:val="left" w:pos="-284"/>
                <w:tab w:val="left" w:pos="0"/>
              </w:tabs>
              <w:ind w:left="284" w:hanging="284"/>
              <w:rPr>
                <w:rFonts w:ascii="Arial" w:hAnsi="Arial" w:cs="Arial"/>
                <w:bCs/>
                <w:i/>
                <w:sz w:val="20"/>
                <w:szCs w:val="20"/>
              </w:rPr>
            </w:pPr>
            <w:r>
              <w:rPr>
                <w:rFonts w:ascii="Arial" w:hAnsi="Arial" w:cs="Arial"/>
                <w:bCs/>
                <w:i/>
                <w:sz w:val="20"/>
                <w:szCs w:val="20"/>
              </w:rPr>
              <w:t>Mgr. Bc. Pavel</w:t>
            </w:r>
          </w:p>
          <w:p w:rsidR="002B0FEC" w:rsidRPr="002B0FEC" w:rsidRDefault="003401AD" w:rsidP="002B0FEC">
            <w:pPr>
              <w:tabs>
                <w:tab w:val="left" w:pos="-284"/>
                <w:tab w:val="left" w:pos="0"/>
              </w:tabs>
              <w:ind w:left="284" w:hanging="284"/>
              <w:rPr>
                <w:rFonts w:ascii="Arial" w:hAnsi="Arial" w:cs="Arial"/>
                <w:bCs/>
                <w:i/>
                <w:sz w:val="20"/>
                <w:szCs w:val="20"/>
              </w:rPr>
            </w:pPr>
            <w:r>
              <w:rPr>
                <w:rFonts w:ascii="Arial" w:hAnsi="Arial" w:cs="Arial"/>
                <w:bCs/>
                <w:i/>
                <w:sz w:val="20"/>
                <w:szCs w:val="20"/>
              </w:rPr>
              <w:t>Vyškovský</w:t>
            </w:r>
            <w:r w:rsidR="00A8204B">
              <w:rPr>
                <w:rFonts w:ascii="Arial" w:hAnsi="Arial" w:cs="Arial"/>
                <w:bCs/>
                <w:i/>
                <w:sz w:val="20"/>
                <w:szCs w:val="20"/>
              </w:rPr>
              <w:t>, v.r.</w:t>
            </w:r>
          </w:p>
          <w:p w:rsidR="002B0FEC" w:rsidRPr="002B0FEC" w:rsidRDefault="002B0FEC" w:rsidP="002B0FEC">
            <w:pPr>
              <w:tabs>
                <w:tab w:val="left" w:pos="-284"/>
                <w:tab w:val="left" w:pos="0"/>
              </w:tabs>
              <w:ind w:left="284" w:hanging="284"/>
              <w:rPr>
                <w:rFonts w:ascii="Arial" w:hAnsi="Arial" w:cs="Arial"/>
                <w:bCs/>
                <w:i/>
                <w:sz w:val="20"/>
                <w:szCs w:val="20"/>
              </w:rPr>
            </w:pPr>
          </w:p>
          <w:p w:rsidR="002B0FEC" w:rsidRPr="002B0FEC" w:rsidRDefault="002B0FEC" w:rsidP="002B0FEC">
            <w:pPr>
              <w:tabs>
                <w:tab w:val="left" w:pos="-284"/>
                <w:tab w:val="left" w:pos="0"/>
              </w:tabs>
              <w:ind w:left="284" w:hanging="284"/>
              <w:rPr>
                <w:rFonts w:ascii="Arial" w:hAnsi="Arial" w:cs="Arial"/>
                <w:bCs/>
                <w:i/>
                <w:sz w:val="20"/>
                <w:szCs w:val="20"/>
              </w:rPr>
            </w:pPr>
          </w:p>
          <w:p w:rsidR="002B0FEC" w:rsidRPr="002B0FEC" w:rsidRDefault="002B0FEC" w:rsidP="00BC0781">
            <w:pPr>
              <w:tabs>
                <w:tab w:val="left" w:pos="-284"/>
                <w:tab w:val="left" w:pos="0"/>
              </w:tabs>
              <w:ind w:left="284" w:hanging="284"/>
              <w:rPr>
                <w:rFonts w:ascii="Arial" w:hAnsi="Arial" w:cs="Arial"/>
                <w:bCs/>
                <w:i/>
                <w:sz w:val="20"/>
                <w:szCs w:val="20"/>
              </w:rPr>
            </w:pPr>
          </w:p>
        </w:tc>
      </w:tr>
    </w:tbl>
    <w:p w:rsidR="00284CB3" w:rsidRDefault="00284CB3" w:rsidP="00C560D7">
      <w:pPr>
        <w:tabs>
          <w:tab w:val="left" w:pos="-284"/>
          <w:tab w:val="left" w:pos="360"/>
        </w:tabs>
        <w:ind w:left="284" w:hanging="284"/>
        <w:jc w:val="both"/>
        <w:rPr>
          <w:rFonts w:ascii="Arial" w:hAnsi="Arial" w:cs="Arial"/>
          <w:bCs/>
          <w:sz w:val="20"/>
          <w:szCs w:val="20"/>
        </w:rPr>
      </w:pPr>
    </w:p>
    <w:p w:rsidR="00284CB3" w:rsidRDefault="00284CB3" w:rsidP="00C560D7">
      <w:pPr>
        <w:tabs>
          <w:tab w:val="left" w:pos="-284"/>
          <w:tab w:val="left" w:pos="360"/>
        </w:tabs>
        <w:ind w:left="284" w:hanging="284"/>
        <w:jc w:val="both"/>
        <w:rPr>
          <w:rFonts w:ascii="Arial" w:hAnsi="Arial" w:cs="Arial"/>
          <w:bCs/>
          <w:sz w:val="20"/>
          <w:szCs w:val="20"/>
        </w:rPr>
      </w:pPr>
    </w:p>
    <w:p w:rsidR="00284CB3" w:rsidRDefault="00284CB3" w:rsidP="00C560D7">
      <w:pPr>
        <w:tabs>
          <w:tab w:val="left" w:pos="-284"/>
          <w:tab w:val="left" w:pos="360"/>
        </w:tabs>
        <w:ind w:left="284" w:hanging="284"/>
        <w:jc w:val="both"/>
        <w:rPr>
          <w:rFonts w:ascii="Arial" w:hAnsi="Arial" w:cs="Arial"/>
          <w:bCs/>
          <w:sz w:val="20"/>
          <w:szCs w:val="20"/>
        </w:rPr>
      </w:pPr>
    </w:p>
    <w:p w:rsidR="00BC0781" w:rsidRDefault="00BC0781" w:rsidP="00C560D7">
      <w:pPr>
        <w:tabs>
          <w:tab w:val="left" w:pos="-284"/>
          <w:tab w:val="left" w:pos="360"/>
        </w:tabs>
        <w:ind w:left="284" w:hanging="284"/>
        <w:jc w:val="both"/>
        <w:rPr>
          <w:rFonts w:ascii="Arial" w:hAnsi="Arial" w:cs="Arial"/>
          <w:bCs/>
          <w:sz w:val="20"/>
          <w:szCs w:val="20"/>
        </w:rPr>
      </w:pPr>
    </w:p>
    <w:p w:rsidR="00BC0781" w:rsidRDefault="00BC0781" w:rsidP="00C560D7">
      <w:pPr>
        <w:tabs>
          <w:tab w:val="left" w:pos="-284"/>
          <w:tab w:val="left" w:pos="360"/>
        </w:tabs>
        <w:ind w:left="284" w:hanging="284"/>
        <w:jc w:val="both"/>
        <w:rPr>
          <w:rFonts w:ascii="Arial" w:hAnsi="Arial" w:cs="Arial"/>
          <w:bCs/>
          <w:sz w:val="20"/>
          <w:szCs w:val="20"/>
        </w:rPr>
      </w:pPr>
    </w:p>
    <w:p w:rsidR="00BC0781" w:rsidRDefault="00BC0781" w:rsidP="00C560D7">
      <w:pPr>
        <w:tabs>
          <w:tab w:val="left" w:pos="-284"/>
          <w:tab w:val="left" w:pos="360"/>
        </w:tabs>
        <w:ind w:left="284" w:hanging="284"/>
        <w:jc w:val="both"/>
        <w:rPr>
          <w:rFonts w:ascii="Arial" w:hAnsi="Arial" w:cs="Arial"/>
          <w:bCs/>
          <w:sz w:val="20"/>
          <w:szCs w:val="20"/>
        </w:rPr>
      </w:pPr>
    </w:p>
    <w:p w:rsidR="00BC0781" w:rsidRDefault="00BC0781" w:rsidP="00C560D7">
      <w:pPr>
        <w:tabs>
          <w:tab w:val="left" w:pos="-284"/>
          <w:tab w:val="left" w:pos="360"/>
        </w:tabs>
        <w:ind w:left="284" w:hanging="284"/>
        <w:jc w:val="both"/>
        <w:rPr>
          <w:rFonts w:ascii="Arial" w:hAnsi="Arial" w:cs="Arial"/>
          <w:bCs/>
          <w:sz w:val="20"/>
          <w:szCs w:val="20"/>
        </w:rPr>
      </w:pPr>
    </w:p>
    <w:p w:rsidR="00BC0781" w:rsidRDefault="00BC0781" w:rsidP="00C560D7">
      <w:pPr>
        <w:tabs>
          <w:tab w:val="left" w:pos="-284"/>
          <w:tab w:val="left" w:pos="360"/>
        </w:tabs>
        <w:ind w:left="284" w:hanging="284"/>
        <w:jc w:val="both"/>
        <w:rPr>
          <w:rFonts w:ascii="Arial" w:hAnsi="Arial" w:cs="Arial"/>
          <w:bCs/>
          <w:sz w:val="20"/>
          <w:szCs w:val="20"/>
        </w:rPr>
      </w:pPr>
    </w:p>
    <w:p w:rsidR="00BC0781" w:rsidRDefault="00BC0781" w:rsidP="00C560D7">
      <w:pPr>
        <w:tabs>
          <w:tab w:val="left" w:pos="-284"/>
          <w:tab w:val="left" w:pos="360"/>
        </w:tabs>
        <w:ind w:left="284" w:hanging="284"/>
        <w:jc w:val="both"/>
        <w:rPr>
          <w:rFonts w:ascii="Arial" w:hAnsi="Arial" w:cs="Arial"/>
          <w:bCs/>
          <w:sz w:val="20"/>
          <w:szCs w:val="20"/>
        </w:rPr>
      </w:pPr>
    </w:p>
    <w:p w:rsidR="00BC0781" w:rsidRDefault="00BC0781" w:rsidP="00C560D7">
      <w:pPr>
        <w:tabs>
          <w:tab w:val="left" w:pos="-284"/>
          <w:tab w:val="left" w:pos="360"/>
        </w:tabs>
        <w:ind w:left="284" w:hanging="284"/>
        <w:jc w:val="both"/>
        <w:rPr>
          <w:rFonts w:ascii="Arial" w:hAnsi="Arial" w:cs="Arial"/>
          <w:bCs/>
          <w:sz w:val="20"/>
          <w:szCs w:val="20"/>
        </w:rPr>
      </w:pPr>
    </w:p>
    <w:p w:rsidR="00BC0781" w:rsidRDefault="00BC0781" w:rsidP="00C560D7">
      <w:pPr>
        <w:tabs>
          <w:tab w:val="left" w:pos="-284"/>
          <w:tab w:val="left" w:pos="360"/>
        </w:tabs>
        <w:ind w:left="284" w:hanging="284"/>
        <w:jc w:val="both"/>
        <w:rPr>
          <w:rFonts w:ascii="Arial" w:hAnsi="Arial" w:cs="Arial"/>
          <w:bCs/>
          <w:sz w:val="20"/>
          <w:szCs w:val="20"/>
        </w:rPr>
      </w:pPr>
    </w:p>
    <w:p w:rsidR="00BC0781" w:rsidRDefault="00BC0781" w:rsidP="00C560D7">
      <w:pPr>
        <w:tabs>
          <w:tab w:val="left" w:pos="-284"/>
          <w:tab w:val="left" w:pos="360"/>
        </w:tabs>
        <w:ind w:left="284" w:hanging="284"/>
        <w:jc w:val="both"/>
        <w:rPr>
          <w:rFonts w:ascii="Arial" w:hAnsi="Arial" w:cs="Arial"/>
          <w:bCs/>
          <w:sz w:val="20"/>
          <w:szCs w:val="20"/>
        </w:rPr>
      </w:pPr>
    </w:p>
    <w:p w:rsidR="00BC0781" w:rsidRDefault="00BC0781" w:rsidP="00C560D7">
      <w:pPr>
        <w:tabs>
          <w:tab w:val="left" w:pos="-284"/>
          <w:tab w:val="left" w:pos="360"/>
        </w:tabs>
        <w:ind w:left="284" w:hanging="284"/>
        <w:jc w:val="both"/>
        <w:rPr>
          <w:rFonts w:ascii="Arial" w:hAnsi="Arial" w:cs="Arial"/>
          <w:bCs/>
          <w:sz w:val="20"/>
          <w:szCs w:val="20"/>
        </w:rPr>
      </w:pPr>
    </w:p>
    <w:p w:rsidR="00BC0781" w:rsidRDefault="00BC0781" w:rsidP="00C560D7">
      <w:pPr>
        <w:tabs>
          <w:tab w:val="left" w:pos="-284"/>
          <w:tab w:val="left" w:pos="360"/>
        </w:tabs>
        <w:ind w:left="284" w:hanging="284"/>
        <w:jc w:val="both"/>
        <w:rPr>
          <w:rFonts w:ascii="Arial" w:hAnsi="Arial" w:cs="Arial"/>
          <w:bCs/>
          <w:sz w:val="20"/>
          <w:szCs w:val="20"/>
        </w:rPr>
      </w:pPr>
    </w:p>
    <w:p w:rsidR="00B8533E" w:rsidRPr="00B8533E" w:rsidRDefault="00B8533E" w:rsidP="00B8533E">
      <w:pPr>
        <w:pStyle w:val="Zkladntext"/>
        <w:tabs>
          <w:tab w:val="clear" w:pos="0"/>
          <w:tab w:val="left" w:pos="-284"/>
        </w:tabs>
        <w:ind w:left="426" w:hanging="426"/>
        <w:rPr>
          <w:rFonts w:ascii="Arial" w:hAnsi="Arial" w:cs="Arial"/>
          <w:b/>
          <w:sz w:val="24"/>
          <w:u w:val="single"/>
        </w:rPr>
      </w:pPr>
      <w:r w:rsidRPr="00B8533E">
        <w:rPr>
          <w:rFonts w:ascii="Arial" w:hAnsi="Arial" w:cs="Arial"/>
          <w:b/>
          <w:sz w:val="24"/>
          <w:u w:val="single"/>
        </w:rPr>
        <w:t>Důvodová zpráva:</w:t>
      </w:r>
    </w:p>
    <w:p w:rsidR="00965DD4" w:rsidRDefault="00965DD4" w:rsidP="00B8533E">
      <w:pPr>
        <w:jc w:val="both"/>
        <w:rPr>
          <w:rFonts w:ascii="Arial" w:hAnsi="Arial" w:cs="Arial"/>
          <w:bCs/>
        </w:rPr>
      </w:pPr>
    </w:p>
    <w:p w:rsidR="00BC0781" w:rsidRPr="00BC0781" w:rsidRDefault="008D73EC" w:rsidP="00BC0781">
      <w:pPr>
        <w:rPr>
          <w:rFonts w:ascii="Arial" w:hAnsi="Arial" w:cs="Arial"/>
        </w:rPr>
      </w:pPr>
      <w:r>
        <w:rPr>
          <w:rFonts w:ascii="Arial" w:hAnsi="Arial" w:cs="Arial"/>
        </w:rPr>
        <w:t xml:space="preserve">Finanční odbor předkládá návrh </w:t>
      </w:r>
      <w:r w:rsidR="007D3E62">
        <w:rPr>
          <w:rFonts w:ascii="Arial" w:hAnsi="Arial" w:cs="Arial"/>
        </w:rPr>
        <w:t>obecně závazné vyhlášky</w:t>
      </w:r>
      <w:r w:rsidR="0087216D" w:rsidRPr="0087216D">
        <w:rPr>
          <w:rFonts w:ascii="Arial" w:hAnsi="Arial" w:cs="Arial"/>
        </w:rPr>
        <w:t xml:space="preserve"> </w:t>
      </w:r>
      <w:r w:rsidR="00BC0781">
        <w:rPr>
          <w:rFonts w:ascii="Arial" w:hAnsi="Arial" w:cs="Arial"/>
        </w:rPr>
        <w:t>statutárního města Prostějova o</w:t>
      </w:r>
      <w:r w:rsidR="00BC0781" w:rsidRPr="00BC0781">
        <w:rPr>
          <w:rFonts w:ascii="Arial" w:hAnsi="Arial" w:cs="Arial"/>
        </w:rPr>
        <w:t xml:space="preserve"> regulaci provozování hazardních her</w:t>
      </w:r>
      <w:r w:rsidR="00BC0781">
        <w:rPr>
          <w:rFonts w:ascii="Arial" w:hAnsi="Arial" w:cs="Arial"/>
        </w:rPr>
        <w:t xml:space="preserve">. </w:t>
      </w:r>
    </w:p>
    <w:p w:rsidR="008D73EC" w:rsidRDefault="008D73EC" w:rsidP="0087216D">
      <w:pPr>
        <w:pStyle w:val="NormlnIMP"/>
        <w:spacing w:after="120" w:line="240" w:lineRule="auto"/>
        <w:rPr>
          <w:rFonts w:ascii="Arial" w:hAnsi="Arial" w:cs="Arial"/>
          <w:szCs w:val="24"/>
        </w:rPr>
      </w:pPr>
    </w:p>
    <w:p w:rsidR="005A210E" w:rsidRDefault="005A210E" w:rsidP="0087216D">
      <w:pPr>
        <w:pStyle w:val="NormlnIMP"/>
        <w:spacing w:after="120" w:line="240" w:lineRule="auto"/>
        <w:rPr>
          <w:rFonts w:ascii="Arial" w:hAnsi="Arial" w:cs="Arial"/>
          <w:szCs w:val="24"/>
        </w:rPr>
      </w:pPr>
    </w:p>
    <w:p w:rsidR="00BC0781" w:rsidRPr="00BC0781" w:rsidRDefault="00BC0781" w:rsidP="00BC0781">
      <w:pPr>
        <w:pStyle w:val="NormlnIMP"/>
        <w:numPr>
          <w:ilvl w:val="0"/>
          <w:numId w:val="41"/>
        </w:numPr>
        <w:spacing w:after="120"/>
        <w:rPr>
          <w:rFonts w:ascii="Arial" w:hAnsi="Arial" w:cs="Arial"/>
          <w:b/>
          <w:bCs/>
          <w:iCs/>
          <w:sz w:val="28"/>
          <w:szCs w:val="28"/>
        </w:rPr>
      </w:pPr>
      <w:r w:rsidRPr="00BC0781">
        <w:rPr>
          <w:rFonts w:ascii="Arial" w:hAnsi="Arial" w:cs="Arial"/>
          <w:b/>
          <w:bCs/>
          <w:iCs/>
          <w:sz w:val="28"/>
          <w:szCs w:val="28"/>
        </w:rPr>
        <w:t xml:space="preserve">Zákonná právní úprava regulace hazardních her </w:t>
      </w:r>
    </w:p>
    <w:p w:rsidR="00BC0781" w:rsidRPr="00BC0781" w:rsidRDefault="00BC0781" w:rsidP="00BC0781">
      <w:pPr>
        <w:pStyle w:val="NormlnIMP"/>
        <w:spacing w:after="120"/>
        <w:rPr>
          <w:rFonts w:ascii="Arial" w:hAnsi="Arial" w:cs="Arial"/>
        </w:rPr>
      </w:pPr>
      <w:r w:rsidRPr="00BC0781">
        <w:rPr>
          <w:rFonts w:ascii="Arial" w:hAnsi="Arial" w:cs="Arial"/>
        </w:rPr>
        <w:t xml:space="preserve">Dne 1. 1. 2017 nabyl účinnosti zákon č. 186/2016 Sb., o hazardních hrách (dále jen „zákon o hazardu“), který nahradil stávající zákon č. 202/1990 Sb., o loteriích a jiných podobných hrách (dále jen „zákon o loteriích“). </w:t>
      </w:r>
    </w:p>
    <w:p w:rsidR="00BC0781" w:rsidRPr="00BC0781" w:rsidRDefault="00BC0781" w:rsidP="00BC0781">
      <w:pPr>
        <w:pStyle w:val="NormlnIMP"/>
        <w:spacing w:after="120"/>
        <w:rPr>
          <w:rFonts w:ascii="Arial" w:hAnsi="Arial" w:cs="Arial"/>
        </w:rPr>
      </w:pPr>
    </w:p>
    <w:p w:rsidR="00BC0781" w:rsidRPr="00BC0781" w:rsidRDefault="00BC0781" w:rsidP="00BC0781">
      <w:pPr>
        <w:pStyle w:val="NormlnIMP"/>
        <w:spacing w:after="120"/>
        <w:rPr>
          <w:rFonts w:ascii="Arial" w:hAnsi="Arial" w:cs="Arial"/>
        </w:rPr>
      </w:pPr>
      <w:r w:rsidRPr="00BC0781">
        <w:rPr>
          <w:rFonts w:ascii="Arial" w:hAnsi="Arial" w:cs="Arial"/>
        </w:rPr>
        <w:t xml:space="preserve">Tato právní úprava regulace hazardu přinesla řadu nových omezení a povinností pro provozovatele hazardních her, např.: </w:t>
      </w:r>
    </w:p>
    <w:p w:rsidR="00BC0781" w:rsidRPr="00BC0781" w:rsidRDefault="00BC0781" w:rsidP="00BC0781">
      <w:pPr>
        <w:pStyle w:val="NormlnIMP"/>
        <w:spacing w:after="120"/>
        <w:rPr>
          <w:rFonts w:ascii="Arial" w:hAnsi="Arial" w:cs="Arial"/>
        </w:rPr>
      </w:pPr>
    </w:p>
    <w:p w:rsidR="00BC0781" w:rsidRPr="00BC0781" w:rsidRDefault="00BC0781" w:rsidP="00BC0781">
      <w:pPr>
        <w:pStyle w:val="NormlnIMP"/>
        <w:numPr>
          <w:ilvl w:val="0"/>
          <w:numId w:val="32"/>
        </w:numPr>
        <w:spacing w:after="120"/>
        <w:rPr>
          <w:rFonts w:ascii="Arial" w:hAnsi="Arial" w:cs="Arial"/>
        </w:rPr>
      </w:pPr>
      <w:r w:rsidRPr="00BC0781">
        <w:rPr>
          <w:rFonts w:ascii="Arial" w:hAnsi="Arial" w:cs="Arial"/>
        </w:rPr>
        <w:t>povinnost umožnit účastníkům hazardní hry nastavení sebeomezujících opatření (§ 14 a násl. zákona o hazardu),</w:t>
      </w:r>
    </w:p>
    <w:p w:rsidR="00BC0781" w:rsidRPr="00BC0781" w:rsidRDefault="00BC0781" w:rsidP="00BC0781">
      <w:pPr>
        <w:pStyle w:val="NormlnIMP"/>
        <w:numPr>
          <w:ilvl w:val="0"/>
          <w:numId w:val="32"/>
        </w:numPr>
        <w:spacing w:after="120"/>
        <w:rPr>
          <w:rFonts w:ascii="Arial" w:hAnsi="Arial" w:cs="Arial"/>
        </w:rPr>
      </w:pPr>
      <w:r w:rsidRPr="00BC0781">
        <w:rPr>
          <w:rFonts w:ascii="Arial" w:hAnsi="Arial" w:cs="Arial"/>
        </w:rPr>
        <w:t>povinnost provozovatelů hazardu provádět identifikaci návštěvníků herních prostor (herna a kasino) a ověřovat, zda návštěvník není zapsán v novém rejstříku osob vyloučených z účasti na hazardních hrách,</w:t>
      </w:r>
    </w:p>
    <w:p w:rsidR="00BC0781" w:rsidRPr="00BC0781" w:rsidRDefault="00BC0781" w:rsidP="00BC0781">
      <w:pPr>
        <w:pStyle w:val="NormlnIMP"/>
        <w:numPr>
          <w:ilvl w:val="0"/>
          <w:numId w:val="32"/>
        </w:numPr>
        <w:spacing w:after="120"/>
        <w:rPr>
          <w:rFonts w:ascii="Arial" w:hAnsi="Arial" w:cs="Arial"/>
        </w:rPr>
      </w:pPr>
      <w:r w:rsidRPr="00BC0781">
        <w:rPr>
          <w:rFonts w:ascii="Arial" w:hAnsi="Arial" w:cs="Arial"/>
        </w:rPr>
        <w:t>povinnost nevpustit do herního prostoru osobu, která je zapsána v rejstříku fyzických osob vyloučených z účasti na hazardních hrách,</w:t>
      </w:r>
    </w:p>
    <w:p w:rsidR="00BC0781" w:rsidRPr="00BC0781" w:rsidRDefault="00BC0781" w:rsidP="00BC0781">
      <w:pPr>
        <w:pStyle w:val="NormlnIMP"/>
        <w:numPr>
          <w:ilvl w:val="0"/>
          <w:numId w:val="32"/>
        </w:numPr>
        <w:spacing w:after="120"/>
        <w:rPr>
          <w:rFonts w:ascii="Arial" w:hAnsi="Arial" w:cs="Arial"/>
        </w:rPr>
      </w:pPr>
      <w:r w:rsidRPr="00BC0781">
        <w:rPr>
          <w:rFonts w:ascii="Arial" w:hAnsi="Arial" w:cs="Arial"/>
        </w:rPr>
        <w:t>povinnost vybavit hrací prostor monitorovacím systémem, který zaznamenává jak vstup do herny, tak celý hrací prostor,</w:t>
      </w:r>
    </w:p>
    <w:p w:rsidR="00BC0781" w:rsidRPr="00BC0781" w:rsidRDefault="00BC0781" w:rsidP="00BC0781">
      <w:pPr>
        <w:pStyle w:val="NormlnIMP"/>
        <w:numPr>
          <w:ilvl w:val="0"/>
          <w:numId w:val="32"/>
        </w:numPr>
        <w:spacing w:after="120"/>
        <w:rPr>
          <w:rFonts w:ascii="Arial" w:hAnsi="Arial" w:cs="Arial"/>
        </w:rPr>
      </w:pPr>
      <w:r w:rsidRPr="00BC0781">
        <w:rPr>
          <w:rFonts w:ascii="Arial" w:hAnsi="Arial" w:cs="Arial"/>
        </w:rPr>
        <w:t>předepsaný minimální počet výherních hracích přístrojů (15 pozic technické hry)</w:t>
      </w:r>
    </w:p>
    <w:p w:rsidR="00BC0781" w:rsidRPr="00BC0781" w:rsidRDefault="00BC0781" w:rsidP="00BC0781">
      <w:pPr>
        <w:pStyle w:val="NormlnIMP"/>
        <w:numPr>
          <w:ilvl w:val="0"/>
          <w:numId w:val="32"/>
        </w:numPr>
        <w:spacing w:after="120"/>
        <w:rPr>
          <w:rFonts w:ascii="Arial" w:hAnsi="Arial" w:cs="Arial"/>
        </w:rPr>
      </w:pPr>
      <w:r w:rsidRPr="00BC0781">
        <w:rPr>
          <w:rFonts w:ascii="Arial" w:hAnsi="Arial" w:cs="Arial"/>
        </w:rPr>
        <w:t>zákaz provozovat hernu v době od 3:00 do 10:00 hod,</w:t>
      </w:r>
    </w:p>
    <w:p w:rsidR="00BC0781" w:rsidRPr="00BC0781" w:rsidRDefault="00BC0781" w:rsidP="00BC0781">
      <w:pPr>
        <w:pStyle w:val="NormlnIMP"/>
        <w:numPr>
          <w:ilvl w:val="0"/>
          <w:numId w:val="32"/>
        </w:numPr>
        <w:spacing w:after="120"/>
        <w:rPr>
          <w:rFonts w:ascii="Arial" w:hAnsi="Arial" w:cs="Arial"/>
        </w:rPr>
      </w:pPr>
      <w:r w:rsidRPr="00BC0781">
        <w:rPr>
          <w:rFonts w:ascii="Arial" w:hAnsi="Arial" w:cs="Arial"/>
        </w:rPr>
        <w:t>zákaz umístění reklamy, či jakékoliv jiné propagace na budově, ve které se nachází herní prostor,</w:t>
      </w:r>
    </w:p>
    <w:p w:rsidR="00BC0781" w:rsidRPr="00BC0781" w:rsidRDefault="00BC0781" w:rsidP="00BC0781">
      <w:pPr>
        <w:pStyle w:val="NormlnIMP"/>
        <w:numPr>
          <w:ilvl w:val="0"/>
          <w:numId w:val="32"/>
        </w:numPr>
        <w:spacing w:after="120"/>
        <w:rPr>
          <w:rFonts w:ascii="Arial" w:hAnsi="Arial" w:cs="Arial"/>
        </w:rPr>
      </w:pPr>
      <w:r w:rsidRPr="00BC0781">
        <w:rPr>
          <w:rFonts w:ascii="Arial" w:hAnsi="Arial" w:cs="Arial"/>
        </w:rPr>
        <w:t>zákaz poskytovat účastníkovi hazardní hry výhody ve formě potravin, nápojů, tabákových výrobků, atd.,</w:t>
      </w:r>
    </w:p>
    <w:p w:rsidR="00BC0781" w:rsidRPr="00BC0781" w:rsidRDefault="00BC0781" w:rsidP="00BC0781">
      <w:pPr>
        <w:pStyle w:val="NormlnIMP"/>
        <w:numPr>
          <w:ilvl w:val="0"/>
          <w:numId w:val="32"/>
        </w:numPr>
        <w:spacing w:after="120"/>
        <w:rPr>
          <w:rFonts w:ascii="Arial" w:hAnsi="Arial" w:cs="Arial"/>
        </w:rPr>
      </w:pPr>
      <w:r w:rsidRPr="00BC0781">
        <w:rPr>
          <w:rFonts w:ascii="Arial" w:hAnsi="Arial" w:cs="Arial"/>
        </w:rPr>
        <w:t>zákaz provozovat hazardní hry ve škole a školském zařízení, zařízení pro volnočasové aktivity dětí a mládeže, zařízení sociálních služeb, zdravotnickém zařízení poskytujícím ambulantní, jednodenní nebo lůžkovou péči, v prostoru sloužícím církvi nebo náboženské společnosti a v zařízení složky integrovaného záchranného systému.</w:t>
      </w:r>
    </w:p>
    <w:p w:rsidR="00BC0781" w:rsidRPr="00BC0781" w:rsidRDefault="00BC0781" w:rsidP="00BC0781">
      <w:pPr>
        <w:pStyle w:val="NormlnIMP"/>
        <w:spacing w:after="120"/>
        <w:rPr>
          <w:rFonts w:ascii="Arial" w:hAnsi="Arial" w:cs="Arial"/>
        </w:rPr>
      </w:pPr>
    </w:p>
    <w:p w:rsidR="00BC0781" w:rsidRPr="00BC0781" w:rsidRDefault="00BC0781" w:rsidP="00BC0781">
      <w:pPr>
        <w:pStyle w:val="NormlnIMP"/>
        <w:spacing w:after="120"/>
        <w:rPr>
          <w:rFonts w:ascii="Arial" w:hAnsi="Arial" w:cs="Arial"/>
        </w:rPr>
      </w:pPr>
      <w:r w:rsidRPr="00BC0781">
        <w:rPr>
          <w:rFonts w:ascii="Arial" w:hAnsi="Arial" w:cs="Arial"/>
        </w:rPr>
        <w:t>Je tedy zřejmé, že oproti zrušenému zákonu o loteriích dochází k výrazné snaze snížit negativní důsledky spojené s hazardem již na celostátní úrovni. I přes to však zákon o hazardu ve svém § 12 odst. 1, shodně s přechozí právní úpravou, zmocňuje obec „</w:t>
      </w:r>
      <w:r w:rsidRPr="00BC0781">
        <w:rPr>
          <w:rFonts w:ascii="Arial" w:hAnsi="Arial" w:cs="Arial"/>
          <w:i/>
        </w:rPr>
        <w:t xml:space="preserve">vydat obecně závaznou vyhlášku, ve které stanoví, že </w:t>
      </w:r>
      <w:r w:rsidRPr="00BC0781">
        <w:rPr>
          <w:rFonts w:ascii="Arial" w:hAnsi="Arial" w:cs="Arial"/>
          <w:b/>
          <w:i/>
        </w:rPr>
        <w:t>bingo, technická hra, živá hra nebo turnaj malého rozsahu</w:t>
      </w:r>
      <w:r w:rsidRPr="00BC0781">
        <w:rPr>
          <w:rFonts w:ascii="Arial" w:hAnsi="Arial" w:cs="Arial"/>
          <w:i/>
        </w:rPr>
        <w:t xml:space="preserve"> mohou být provozovány pouze na </w:t>
      </w:r>
      <w:r w:rsidRPr="00BC0781">
        <w:rPr>
          <w:rFonts w:ascii="Arial" w:hAnsi="Arial" w:cs="Arial"/>
          <w:b/>
          <w:i/>
        </w:rPr>
        <w:t>místech</w:t>
      </w:r>
      <w:r w:rsidRPr="00BC0781">
        <w:rPr>
          <w:rFonts w:ascii="Arial" w:hAnsi="Arial" w:cs="Arial"/>
          <w:i/>
        </w:rPr>
        <w:t xml:space="preserve"> a v </w:t>
      </w:r>
      <w:r w:rsidRPr="00BC0781">
        <w:rPr>
          <w:rFonts w:ascii="Arial" w:hAnsi="Arial" w:cs="Arial"/>
          <w:b/>
          <w:i/>
        </w:rPr>
        <w:t>čase</w:t>
      </w:r>
      <w:r w:rsidRPr="00BC0781">
        <w:rPr>
          <w:rFonts w:ascii="Arial" w:hAnsi="Arial" w:cs="Arial"/>
          <w:i/>
        </w:rPr>
        <w:t xml:space="preserve"> určených obecně závaznou vyhláškou, nebo stanoví, na kterých místech a v jakém čase je v obci provozování těchto hazardních her zakázáno, anebo stanoví, že provozování těchto hazardních her je na celém území obce zcela zakázáno</w:t>
      </w:r>
      <w:r w:rsidRPr="00BC0781">
        <w:rPr>
          <w:rFonts w:ascii="Arial" w:hAnsi="Arial" w:cs="Arial"/>
        </w:rPr>
        <w:t>.“</w:t>
      </w:r>
    </w:p>
    <w:p w:rsidR="00BC0781" w:rsidRPr="00BC0781" w:rsidRDefault="00BC0781" w:rsidP="00BC0781">
      <w:pPr>
        <w:pStyle w:val="NormlnIMP"/>
        <w:spacing w:after="120"/>
        <w:rPr>
          <w:rFonts w:ascii="Arial" w:hAnsi="Arial" w:cs="Arial"/>
        </w:rPr>
      </w:pPr>
    </w:p>
    <w:p w:rsidR="00BC0781" w:rsidRPr="00BC0781" w:rsidRDefault="00BC0781" w:rsidP="00BC0781">
      <w:pPr>
        <w:pStyle w:val="NormlnIMP"/>
        <w:spacing w:after="120"/>
        <w:rPr>
          <w:rFonts w:ascii="Arial" w:hAnsi="Arial" w:cs="Arial"/>
        </w:rPr>
      </w:pPr>
      <w:r w:rsidRPr="00BC0781">
        <w:rPr>
          <w:rFonts w:ascii="Arial" w:hAnsi="Arial" w:cs="Arial"/>
        </w:rPr>
        <w:t xml:space="preserve">Obec tedy může provoz </w:t>
      </w:r>
      <w:r w:rsidRPr="00BC0781">
        <w:rPr>
          <w:rFonts w:ascii="Arial" w:hAnsi="Arial" w:cs="Arial"/>
          <w:b/>
        </w:rPr>
        <w:t>uvedených druhů</w:t>
      </w:r>
      <w:r w:rsidRPr="00BC0781">
        <w:rPr>
          <w:rFonts w:ascii="Arial" w:hAnsi="Arial" w:cs="Arial"/>
        </w:rPr>
        <w:t xml:space="preserve"> hazardních her regulovat co do </w:t>
      </w:r>
      <w:r w:rsidRPr="00BC0781">
        <w:rPr>
          <w:rFonts w:ascii="Arial" w:hAnsi="Arial" w:cs="Arial"/>
          <w:b/>
        </w:rPr>
        <w:t xml:space="preserve">místa </w:t>
      </w:r>
      <w:r w:rsidRPr="00BC0781">
        <w:rPr>
          <w:rFonts w:ascii="Arial" w:hAnsi="Arial" w:cs="Arial"/>
        </w:rPr>
        <w:t xml:space="preserve">a co do </w:t>
      </w:r>
      <w:r w:rsidRPr="00BC0781">
        <w:rPr>
          <w:rFonts w:ascii="Arial" w:hAnsi="Arial" w:cs="Arial"/>
          <w:b/>
        </w:rPr>
        <w:t xml:space="preserve">času </w:t>
      </w:r>
      <w:r w:rsidRPr="00BC0781">
        <w:rPr>
          <w:rFonts w:ascii="Arial" w:hAnsi="Arial" w:cs="Arial"/>
        </w:rPr>
        <w:t xml:space="preserve">jejich provozování. </w:t>
      </w:r>
    </w:p>
    <w:p w:rsidR="00BC0781" w:rsidRPr="00BC0781" w:rsidRDefault="00BC0781" w:rsidP="00BC0781">
      <w:pPr>
        <w:pStyle w:val="NormlnIMP"/>
        <w:spacing w:after="120"/>
        <w:rPr>
          <w:rFonts w:ascii="Arial" w:hAnsi="Arial" w:cs="Arial"/>
        </w:rPr>
      </w:pPr>
    </w:p>
    <w:p w:rsidR="00BC0781" w:rsidRPr="00BC0781" w:rsidRDefault="00BC0781" w:rsidP="00BC0781">
      <w:pPr>
        <w:pStyle w:val="NormlnIMP"/>
        <w:numPr>
          <w:ilvl w:val="0"/>
          <w:numId w:val="41"/>
        </w:numPr>
        <w:spacing w:after="120"/>
        <w:rPr>
          <w:rFonts w:ascii="Arial" w:hAnsi="Arial" w:cs="Arial"/>
          <w:b/>
          <w:sz w:val="28"/>
          <w:szCs w:val="28"/>
        </w:rPr>
      </w:pPr>
      <w:r w:rsidRPr="00BC0781">
        <w:rPr>
          <w:rFonts w:ascii="Arial" w:hAnsi="Arial" w:cs="Arial"/>
          <w:b/>
          <w:sz w:val="28"/>
          <w:szCs w:val="28"/>
        </w:rPr>
        <w:t xml:space="preserve">Současný stav regulace hazardních her na území statutárního města Prostějova </w:t>
      </w:r>
    </w:p>
    <w:p w:rsidR="00BC0781" w:rsidRPr="00BC0781" w:rsidRDefault="00BC0781" w:rsidP="00BC0781">
      <w:pPr>
        <w:pStyle w:val="NormlnIMP"/>
        <w:spacing w:after="120"/>
        <w:rPr>
          <w:rFonts w:ascii="Arial" w:hAnsi="Arial" w:cs="Arial"/>
        </w:rPr>
      </w:pPr>
    </w:p>
    <w:p w:rsidR="00BC0781" w:rsidRPr="00BC0781" w:rsidRDefault="00BC0781" w:rsidP="00BC0781">
      <w:pPr>
        <w:pStyle w:val="NormlnIMP"/>
        <w:spacing w:after="120"/>
        <w:rPr>
          <w:rFonts w:ascii="Arial" w:hAnsi="Arial" w:cs="Arial"/>
          <w:bCs/>
          <w:iCs/>
        </w:rPr>
      </w:pPr>
      <w:r w:rsidRPr="00BC0781">
        <w:rPr>
          <w:rFonts w:ascii="Arial" w:hAnsi="Arial" w:cs="Arial"/>
          <w:bCs/>
          <w:iCs/>
        </w:rPr>
        <w:t>Do nab</w:t>
      </w:r>
      <w:r w:rsidR="007C30A8">
        <w:rPr>
          <w:rFonts w:ascii="Arial" w:hAnsi="Arial" w:cs="Arial"/>
          <w:bCs/>
          <w:iCs/>
        </w:rPr>
        <w:t xml:space="preserve">ytí účinnosti zákona o hazardu </w:t>
      </w:r>
      <w:r w:rsidRPr="00BC0781">
        <w:rPr>
          <w:rFonts w:ascii="Arial" w:hAnsi="Arial" w:cs="Arial"/>
          <w:bCs/>
          <w:iCs/>
        </w:rPr>
        <w:t xml:space="preserve">regulovalo město Prostějov provozování loterií a jiných podobných her obecně závaznou vyhláškou č. 2/2012, kterou se stanoví místa na území města Prostějova, na kterých lze provozovat sázkové hry podle § 2 písm. e), g), i), l), m) a n) a loterie a jiné podobné hry podle § 2 písm. j) a § 50 odst. 3 zákona č. 202/1990 Sb., o loteriích a jiných podobných hrách, ve znění pozdějších předpisů (dále jen „OZV č. 2/2012“). </w:t>
      </w:r>
    </w:p>
    <w:p w:rsidR="00BC0781" w:rsidRPr="00BC0781" w:rsidRDefault="00BC0781" w:rsidP="00BC0781">
      <w:pPr>
        <w:pStyle w:val="NormlnIMP"/>
        <w:spacing w:after="120"/>
        <w:rPr>
          <w:rFonts w:ascii="Arial" w:hAnsi="Arial" w:cs="Arial"/>
        </w:rPr>
      </w:pPr>
    </w:p>
    <w:p w:rsidR="00BC0781" w:rsidRPr="00BC0781" w:rsidRDefault="00BC0781" w:rsidP="00BC0781">
      <w:pPr>
        <w:pStyle w:val="NormlnIMP"/>
        <w:spacing w:after="120"/>
        <w:rPr>
          <w:rFonts w:ascii="Arial" w:hAnsi="Arial" w:cs="Arial"/>
        </w:rPr>
      </w:pPr>
      <w:r w:rsidRPr="00BC0781">
        <w:rPr>
          <w:rFonts w:ascii="Arial" w:hAnsi="Arial" w:cs="Arial"/>
        </w:rPr>
        <w:t xml:space="preserve">Usnesením č. 16253 ze dne 12. 12. 2016 uložilo Zastupitelstvo Radě iniciovat vytvoření odborně-pracovní skupiny pro vytvoření obecně závazné vyhlášky, kterou by se zakázalo či omezilo propagování a provozování sázkových her, loterií a jiných podobných her na území města Prostějova (dále jen „pracovní skupina“). </w:t>
      </w:r>
    </w:p>
    <w:p w:rsidR="00BC0781" w:rsidRPr="00BC0781" w:rsidRDefault="00BC0781" w:rsidP="00BC0781">
      <w:pPr>
        <w:pStyle w:val="NormlnIMP"/>
        <w:spacing w:after="120"/>
        <w:rPr>
          <w:rFonts w:ascii="Arial" w:hAnsi="Arial" w:cs="Arial"/>
        </w:rPr>
      </w:pPr>
    </w:p>
    <w:p w:rsidR="00BC0781" w:rsidRPr="00BC0781" w:rsidRDefault="00BC0781" w:rsidP="00BC0781">
      <w:pPr>
        <w:pStyle w:val="NormlnIMP"/>
        <w:spacing w:after="120"/>
        <w:rPr>
          <w:rFonts w:ascii="Arial" w:hAnsi="Arial" w:cs="Arial"/>
        </w:rPr>
      </w:pPr>
      <w:r w:rsidRPr="00BC0781">
        <w:rPr>
          <w:rFonts w:ascii="Arial" w:hAnsi="Arial" w:cs="Arial"/>
        </w:rPr>
        <w:t xml:space="preserve">Pracovní skupina na svých jednáních konaných dne 30. 3. 2017 a 24. 5. 2017 projednala několik alternativ návrhu regulace hazardních her a poté doporučila schválit návrh obecně závazné vyhlášky, připravený Finančním odborem MMPv, o regulaci provozování hazardních her. </w:t>
      </w:r>
      <w:r w:rsidRPr="00BC0781">
        <w:rPr>
          <w:rFonts w:ascii="Arial" w:hAnsi="Arial" w:cs="Arial"/>
          <w:b/>
        </w:rPr>
        <w:t>Obecně závazná vyhláška č. 6/2017 o regulaci provozování hazardních her</w:t>
      </w:r>
      <w:r w:rsidRPr="00BC0781">
        <w:rPr>
          <w:rFonts w:ascii="Arial" w:hAnsi="Arial" w:cs="Arial"/>
        </w:rPr>
        <w:t xml:space="preserve"> (dále jen „OZV č. 6/2017“) byla vydána Zastupitelstvem na jednání konaném dne 12. 6. 2017 a </w:t>
      </w:r>
      <w:r w:rsidRPr="00BC0781">
        <w:rPr>
          <w:rFonts w:ascii="Arial" w:hAnsi="Arial" w:cs="Arial"/>
          <w:b/>
        </w:rPr>
        <w:t xml:space="preserve">nabyla účinnosti dne 1. 7. 2017. </w:t>
      </w:r>
      <w:r w:rsidRPr="00BC0781">
        <w:rPr>
          <w:rFonts w:ascii="Arial" w:hAnsi="Arial" w:cs="Arial"/>
        </w:rPr>
        <w:t xml:space="preserve">Jelikož po prodloužení činnosti pracovní skupiny nebyl již další návrh obecně závazné vyhlášky Zastupitelstvem schválen (Zastupitelstvo na svém zasedání konaném dne 30. 10. 2017 další návrh pracovní skupiny usnesením č. 17228 neschválilo) a žádný další již nebyl předložen, </w:t>
      </w:r>
      <w:r w:rsidRPr="00BC0781">
        <w:rPr>
          <w:rFonts w:ascii="Arial" w:hAnsi="Arial" w:cs="Arial"/>
          <w:b/>
        </w:rPr>
        <w:t>byla činnost pracovní skupiny ukončena</w:t>
      </w:r>
      <w:r w:rsidRPr="00BC0781">
        <w:rPr>
          <w:rFonts w:ascii="Arial" w:hAnsi="Arial" w:cs="Arial"/>
        </w:rPr>
        <w:t>.</w:t>
      </w:r>
    </w:p>
    <w:p w:rsidR="00BC0781" w:rsidRPr="00BC0781" w:rsidRDefault="00BC0781" w:rsidP="00BC0781">
      <w:pPr>
        <w:pStyle w:val="NormlnIMP"/>
        <w:spacing w:after="120"/>
        <w:rPr>
          <w:rFonts w:ascii="Arial" w:hAnsi="Arial" w:cs="Arial"/>
        </w:rPr>
      </w:pPr>
    </w:p>
    <w:p w:rsidR="00BC0781" w:rsidRPr="00BC0781" w:rsidRDefault="00BC0781" w:rsidP="00BC0781">
      <w:pPr>
        <w:pStyle w:val="NormlnIMP"/>
        <w:spacing w:after="120"/>
        <w:rPr>
          <w:rFonts w:ascii="Arial" w:hAnsi="Arial" w:cs="Arial"/>
        </w:rPr>
      </w:pPr>
      <w:r w:rsidRPr="00BC0781">
        <w:rPr>
          <w:rFonts w:ascii="Arial" w:hAnsi="Arial" w:cs="Arial"/>
        </w:rPr>
        <w:t xml:space="preserve">V současné době tak město Prostějov reguluje provozování vybraných hazardních her stanovením </w:t>
      </w:r>
      <w:r w:rsidRPr="00BC0781">
        <w:rPr>
          <w:rFonts w:ascii="Arial" w:hAnsi="Arial" w:cs="Arial"/>
          <w:b/>
        </w:rPr>
        <w:t xml:space="preserve">padesáti </w:t>
      </w:r>
      <w:r w:rsidRPr="00BC0781">
        <w:rPr>
          <w:rFonts w:ascii="Arial" w:hAnsi="Arial" w:cs="Arial"/>
        </w:rPr>
        <w:t>m</w:t>
      </w:r>
      <w:r w:rsidR="005A210E">
        <w:rPr>
          <w:rFonts w:ascii="Arial" w:hAnsi="Arial" w:cs="Arial"/>
        </w:rPr>
        <w:t>í</w:t>
      </w:r>
      <w:r w:rsidRPr="00BC0781">
        <w:rPr>
          <w:rFonts w:ascii="Arial" w:hAnsi="Arial" w:cs="Arial"/>
        </w:rPr>
        <w:t xml:space="preserve">st, na nichž je možno hazardní hry provozovat. </w:t>
      </w:r>
    </w:p>
    <w:p w:rsidR="00BC0781" w:rsidRPr="00BC0781" w:rsidRDefault="00BC0781" w:rsidP="00BC0781">
      <w:pPr>
        <w:pStyle w:val="NormlnIMP"/>
        <w:spacing w:after="120"/>
        <w:rPr>
          <w:rFonts w:ascii="Arial" w:hAnsi="Arial" w:cs="Arial"/>
        </w:rPr>
      </w:pPr>
    </w:p>
    <w:p w:rsidR="00BC0781" w:rsidRPr="00BC0781" w:rsidRDefault="00BC0781" w:rsidP="00BC0781">
      <w:pPr>
        <w:pStyle w:val="NormlnIMP"/>
        <w:spacing w:after="120"/>
        <w:rPr>
          <w:rFonts w:ascii="Arial" w:hAnsi="Arial" w:cs="Arial"/>
        </w:rPr>
      </w:pPr>
      <w:r w:rsidRPr="00BC0781">
        <w:rPr>
          <w:rFonts w:ascii="Arial" w:hAnsi="Arial" w:cs="Arial"/>
        </w:rPr>
        <w:t xml:space="preserve">Počet provozoven hazardních her na území města Prostějova </w:t>
      </w:r>
      <w:r w:rsidRPr="00BC0781">
        <w:rPr>
          <w:rFonts w:ascii="Arial" w:hAnsi="Arial" w:cs="Arial"/>
          <w:b/>
        </w:rPr>
        <w:t>klesá</w:t>
      </w:r>
      <w:r w:rsidRPr="00BC0781">
        <w:rPr>
          <w:rFonts w:ascii="Arial" w:hAnsi="Arial" w:cs="Arial"/>
        </w:rPr>
        <w:t xml:space="preserve">. V době přijetí první OZV č. 2/2012, která regulovala počet heren v souladu s dříve platným zákonem o loteriích, tedy ke dni 2. 3. 2012, bylo na území města </w:t>
      </w:r>
      <w:r w:rsidRPr="00BC0781">
        <w:rPr>
          <w:rFonts w:ascii="Arial" w:hAnsi="Arial" w:cs="Arial"/>
          <w:b/>
        </w:rPr>
        <w:t>76 heren</w:t>
      </w:r>
      <w:r w:rsidRPr="00BC0781">
        <w:rPr>
          <w:rFonts w:ascii="Arial" w:hAnsi="Arial" w:cs="Arial"/>
        </w:rPr>
        <w:t xml:space="preserve">. V době změny právní úpravy, tedy v lednu 2017, bylo na území města </w:t>
      </w:r>
      <w:r w:rsidRPr="00BC0781">
        <w:rPr>
          <w:rFonts w:ascii="Arial" w:hAnsi="Arial" w:cs="Arial"/>
          <w:b/>
        </w:rPr>
        <w:t>44 heren</w:t>
      </w:r>
      <w:r w:rsidRPr="00BC0781">
        <w:rPr>
          <w:rFonts w:ascii="Arial" w:hAnsi="Arial" w:cs="Arial"/>
        </w:rPr>
        <w:t xml:space="preserve">.  </w:t>
      </w:r>
    </w:p>
    <w:p w:rsidR="00BC0781" w:rsidRPr="00BC0781" w:rsidRDefault="00BC0781" w:rsidP="00BC0781">
      <w:pPr>
        <w:pStyle w:val="NormlnIMP"/>
        <w:spacing w:after="120"/>
        <w:rPr>
          <w:rFonts w:ascii="Arial" w:hAnsi="Arial" w:cs="Arial"/>
        </w:rPr>
      </w:pPr>
    </w:p>
    <w:p w:rsidR="00BC0781" w:rsidRPr="00BC0781" w:rsidRDefault="00BC0781" w:rsidP="00BC0781">
      <w:pPr>
        <w:pStyle w:val="NormlnIMP"/>
        <w:spacing w:after="120"/>
        <w:rPr>
          <w:rFonts w:ascii="Arial" w:hAnsi="Arial" w:cs="Arial"/>
        </w:rPr>
      </w:pPr>
      <w:r w:rsidRPr="00BC0781">
        <w:rPr>
          <w:rFonts w:ascii="Arial" w:hAnsi="Arial" w:cs="Arial"/>
        </w:rPr>
        <w:t xml:space="preserve">Stávající regulace hazardu </w:t>
      </w:r>
      <w:r w:rsidRPr="00BC0781">
        <w:rPr>
          <w:rFonts w:ascii="Arial" w:hAnsi="Arial" w:cs="Arial"/>
          <w:b/>
        </w:rPr>
        <w:t>je založena na pozitivním výčtu adresních míst</w:t>
      </w:r>
      <w:r w:rsidRPr="00BC0781">
        <w:rPr>
          <w:rFonts w:ascii="Arial" w:hAnsi="Arial" w:cs="Arial"/>
        </w:rPr>
        <w:t xml:space="preserve"> na území statutárního města Prostějova, na kterých lze provozovat uvedené hazardní hry. Tato adresní místa jsou uvedena v příloze OZV č. 6/2017. Těchto míst je po celou dobu platnosti OZV 6/2017 celkem 50. V souladu s usnesením Rady č. 61136 a s reálným stavem bylo ve výčtu adresních míst zahrnuto 44 adresních míst provozoven, na kterých ke dni přijetí OZV č. 6/2017 byly provozovny sázkových her, loterií a jiných podobných her. Aby nedošlo k možné diskriminaci soutěžitelů, kteří se na místní trh provozování hazardních her teprve </w:t>
      </w:r>
      <w:r w:rsidRPr="00BC0781">
        <w:rPr>
          <w:rFonts w:ascii="Arial" w:hAnsi="Arial" w:cs="Arial"/>
          <w:b/>
        </w:rPr>
        <w:t>chystali vstoupit</w:t>
      </w:r>
      <w:r w:rsidRPr="00BC0781">
        <w:rPr>
          <w:rFonts w:ascii="Arial" w:hAnsi="Arial" w:cs="Arial"/>
        </w:rPr>
        <w:t xml:space="preserve">, byl tento seznam doplněn o 6 provozoven, na </w:t>
      </w:r>
      <w:r w:rsidRPr="00BC0781">
        <w:rPr>
          <w:rFonts w:ascii="Arial" w:hAnsi="Arial" w:cs="Arial"/>
        </w:rPr>
        <w:lastRenderedPageBreak/>
        <w:t xml:space="preserve">kterých se v minulosti provozovny sázkové hry, loterie a jiné podobné hry nacházely, ale v době vydání OZV č. 6/2017 na této adrese nebyla jiná živnostenská provozovna, či jiná podnikatelská činnost. </w:t>
      </w:r>
    </w:p>
    <w:p w:rsidR="00BC0781" w:rsidRPr="00BC0781" w:rsidRDefault="00BC0781" w:rsidP="00BC0781">
      <w:pPr>
        <w:pStyle w:val="NormlnIMP"/>
        <w:spacing w:after="120"/>
        <w:rPr>
          <w:rFonts w:ascii="Arial" w:hAnsi="Arial" w:cs="Arial"/>
        </w:rPr>
      </w:pPr>
    </w:p>
    <w:p w:rsidR="00BC0781" w:rsidRPr="00BC0781" w:rsidRDefault="00BC0781" w:rsidP="00BC0781">
      <w:pPr>
        <w:pStyle w:val="NormlnIMP"/>
        <w:spacing w:after="120"/>
        <w:rPr>
          <w:rFonts w:ascii="Arial" w:hAnsi="Arial" w:cs="Arial"/>
        </w:rPr>
      </w:pPr>
      <w:r w:rsidRPr="00BC0781">
        <w:rPr>
          <w:rFonts w:ascii="Arial" w:hAnsi="Arial" w:cs="Arial"/>
        </w:rPr>
        <w:t xml:space="preserve">Vzhledem k přísnějším podmínkám kladeným na umístění a vybavení provozovny stanoveným zákonem o hazardu, došlo v letech 2017 a 2018 k podstatnému snížení počtu provozoven hazardních her, kdy se na území města Prostějova v současnosti nachází </w:t>
      </w:r>
      <w:r w:rsidRPr="00BC0781">
        <w:rPr>
          <w:rFonts w:ascii="Arial" w:hAnsi="Arial" w:cs="Arial"/>
          <w:b/>
        </w:rPr>
        <w:t>14 provozoven hazardních her (z toho 3 herny a 11 kasin)</w:t>
      </w:r>
      <w:r w:rsidRPr="00BC0781">
        <w:rPr>
          <w:rFonts w:ascii="Arial" w:hAnsi="Arial" w:cs="Arial"/>
        </w:rPr>
        <w:t xml:space="preserve">, ve kterých je provozovna hazardních her dle zákona o hazardu. Počet povolených míst OZV č. 6/2017 je však stále 50. Tedy OZV č. 6/2017 obsahuje </w:t>
      </w:r>
      <w:r w:rsidRPr="00BC0781">
        <w:rPr>
          <w:rFonts w:ascii="Arial" w:hAnsi="Arial" w:cs="Arial"/>
          <w:b/>
        </w:rPr>
        <w:t>36 míst, na kterých je možné hazardní hry provozovat, ale žádná provozovna v nich v současnosti není</w:t>
      </w:r>
      <w:r w:rsidRPr="00BC0781">
        <w:rPr>
          <w:rFonts w:ascii="Arial" w:hAnsi="Arial" w:cs="Arial"/>
        </w:rPr>
        <w:t xml:space="preserve">. Došlo tak k očekáváné selekci provozoven, kdy výherní hrací přístroje přestaly provozovat restaurace a hospody. </w:t>
      </w:r>
    </w:p>
    <w:p w:rsidR="00BC0781" w:rsidRPr="00BC0781" w:rsidRDefault="00BC0781" w:rsidP="00BC0781">
      <w:pPr>
        <w:pStyle w:val="NormlnIMP"/>
        <w:spacing w:after="120"/>
        <w:rPr>
          <w:rFonts w:ascii="Arial" w:hAnsi="Arial" w:cs="Arial"/>
        </w:rPr>
      </w:pPr>
    </w:p>
    <w:p w:rsidR="00BC0781" w:rsidRPr="00BC0781" w:rsidRDefault="00BC0781" w:rsidP="00BC0781">
      <w:pPr>
        <w:pStyle w:val="NormlnIMP"/>
        <w:spacing w:after="120"/>
        <w:rPr>
          <w:rFonts w:ascii="Arial" w:hAnsi="Arial" w:cs="Arial"/>
          <w:b/>
        </w:rPr>
      </w:pPr>
      <w:r w:rsidRPr="00BC0781">
        <w:rPr>
          <w:rFonts w:ascii="Arial" w:hAnsi="Arial" w:cs="Arial"/>
          <w:b/>
        </w:rPr>
        <w:t>Aktuální problémy spojené se způsobem regulace hazardních her dle OZV č. 6/2017</w:t>
      </w:r>
    </w:p>
    <w:p w:rsidR="00BC0781" w:rsidRPr="00BC0781" w:rsidRDefault="00BC0781" w:rsidP="00BC0781">
      <w:pPr>
        <w:pStyle w:val="NormlnIMP"/>
        <w:spacing w:after="120"/>
        <w:rPr>
          <w:rFonts w:ascii="Arial" w:hAnsi="Arial" w:cs="Arial"/>
        </w:rPr>
      </w:pPr>
      <w:r w:rsidRPr="00BC0781">
        <w:rPr>
          <w:rFonts w:ascii="Arial" w:hAnsi="Arial" w:cs="Arial"/>
        </w:rPr>
        <w:t xml:space="preserve">Zvolený způsob regulace spočívající v pozitivním výčtu adresních míst, na kterých lze provozovat hazardní hry, se stal předmětem opakovaných dotazů Úřadu na ochranu hospodářské soutěže (dále jen „ÚOHS“), který v rámci své dozorové činnosti nad průběhem hospodářské soutěže dopisem ze dne 9. 8. 2017 požádal statutární město Prostějov o zaslání informací a podkladů k objasnění k přijetí OZV č. 6/2017. Opakovaně se ÚOHS dotázal přípisy ze dne 29. 8. 2018 a 6. 6. 2019. </w:t>
      </w:r>
    </w:p>
    <w:p w:rsidR="00BC0781" w:rsidRPr="00BC0781" w:rsidRDefault="00BC0781" w:rsidP="00BC0781">
      <w:pPr>
        <w:pStyle w:val="NormlnIMP"/>
        <w:spacing w:after="120"/>
        <w:rPr>
          <w:rFonts w:ascii="Arial" w:hAnsi="Arial" w:cs="Arial"/>
        </w:rPr>
      </w:pPr>
    </w:p>
    <w:p w:rsidR="00BC0781" w:rsidRPr="00BC0781" w:rsidRDefault="00BC0781" w:rsidP="00BC0781">
      <w:pPr>
        <w:pStyle w:val="NormlnIMP"/>
        <w:spacing w:after="120"/>
        <w:rPr>
          <w:rFonts w:ascii="Arial" w:hAnsi="Arial" w:cs="Arial"/>
        </w:rPr>
      </w:pPr>
      <w:r w:rsidRPr="00BC0781">
        <w:rPr>
          <w:rFonts w:ascii="Arial" w:hAnsi="Arial" w:cs="Arial"/>
        </w:rPr>
        <w:t xml:space="preserve">Důvodem je možné porušení § 19a zákona č. 143/2001 Sb., o ochraně hospodářské soutěže, kterého se může orgán veřejné správy dopustit tím, že bez ospravedlnitelných důvodů zvýhodní nebo vyloučí určitého soutěžitele nebo skupinu soutěžitelů. Pokud by se tak stalo a ÚOHS by shledal, že statutární město vydáním obecně závazné vyhlášky narušilo hospodářskou soutěž, je oprávněn ÚOHS uložit za takový správní delikt v souladu s ust.          § 22aa odst. 2 zákona č. 143/2001 Sb., o ochraně hospodářské soutěže a o změně některých zákonů pokutu až do výše 10 000 000 Kč. </w:t>
      </w:r>
    </w:p>
    <w:p w:rsidR="00BC0781" w:rsidRPr="00BC0781" w:rsidRDefault="00BC0781" w:rsidP="00BC0781">
      <w:pPr>
        <w:pStyle w:val="NormlnIMP"/>
        <w:spacing w:after="120"/>
        <w:rPr>
          <w:rFonts w:ascii="Arial" w:hAnsi="Arial" w:cs="Arial"/>
        </w:rPr>
      </w:pPr>
    </w:p>
    <w:p w:rsidR="00BC0781" w:rsidRPr="00BC0781" w:rsidRDefault="00BC0781" w:rsidP="00BC0781">
      <w:pPr>
        <w:pStyle w:val="NormlnIMP"/>
        <w:spacing w:after="120"/>
        <w:rPr>
          <w:rFonts w:ascii="Arial" w:hAnsi="Arial" w:cs="Arial"/>
        </w:rPr>
      </w:pPr>
      <w:r w:rsidRPr="00BC0781">
        <w:rPr>
          <w:rFonts w:ascii="Arial" w:hAnsi="Arial" w:cs="Arial"/>
        </w:rPr>
        <w:t>ÚOHS ve svém stanovisku k regulaci provozu loterií a jiných podobných her obcemi ze dne 1. 9. 2014 postup regulace zvolený statuárním městem Prostějovem výslovně nevylučuje. Pouze požaduje, aby byla obec „</w:t>
      </w:r>
      <w:r w:rsidRPr="00BC0781">
        <w:rPr>
          <w:rFonts w:ascii="Arial" w:hAnsi="Arial" w:cs="Arial"/>
          <w:i/>
        </w:rPr>
        <w:t>sto prokázat, proč je povolení pouze určitého počtu provozoven (např. 3) postačující k dosažení legitimního zájmu obce – v zásadě ochrany veřejného pořádku, ale proč by vyšší počet (např. 4) již naplnění takového zájmu neumožnil, stejně jako vysvětlit, podle jakého kritéria byly vybrány právě tyto provozovny. Současně by bylo nezbytné prokázat, že zvoleným postupem nedochází k diskriminaci soutěžitelů, kteří na trhu již působí, ani těch, kteří by na něj zamýšleli vstoupit</w:t>
      </w:r>
      <w:r w:rsidRPr="00BC0781">
        <w:rPr>
          <w:rFonts w:ascii="Arial" w:hAnsi="Arial" w:cs="Arial"/>
        </w:rPr>
        <w:t>.“</w:t>
      </w:r>
    </w:p>
    <w:p w:rsidR="00BC0781" w:rsidRPr="00BC0781" w:rsidRDefault="00BC0781" w:rsidP="00BC0781">
      <w:pPr>
        <w:pStyle w:val="NormlnIMP"/>
        <w:spacing w:after="120"/>
        <w:rPr>
          <w:rFonts w:ascii="Arial" w:hAnsi="Arial" w:cs="Arial"/>
        </w:rPr>
      </w:pPr>
    </w:p>
    <w:p w:rsidR="00BC0781" w:rsidRPr="00BC0781" w:rsidRDefault="00BC0781" w:rsidP="00BC0781">
      <w:pPr>
        <w:pStyle w:val="NormlnIMP"/>
        <w:spacing w:after="120"/>
        <w:rPr>
          <w:rFonts w:ascii="Arial" w:hAnsi="Arial" w:cs="Arial"/>
        </w:rPr>
      </w:pPr>
      <w:r w:rsidRPr="00BC0781">
        <w:rPr>
          <w:rFonts w:ascii="Arial" w:hAnsi="Arial" w:cs="Arial"/>
        </w:rPr>
        <w:t xml:space="preserve">Stejně Ministerstvo vnitra ČR (dále jen „MV“) ve svém aktuálním právním výkladu </w:t>
      </w:r>
      <w:r w:rsidRPr="00BC0781">
        <w:rPr>
          <w:rFonts w:ascii="Arial" w:hAnsi="Arial" w:cs="Arial"/>
          <w:bCs/>
        </w:rPr>
        <w:t>k obecně závazným vyhláškám regulujícím provozování některých hazardních her na území obce ze dne 1. 9. 2016 možnost určení adresních míst provozoven nevylučuje. Pouze k tomu uvádí, že se „</w:t>
      </w:r>
      <w:r w:rsidRPr="00BC0781">
        <w:rPr>
          <w:rFonts w:ascii="Arial" w:hAnsi="Arial" w:cs="Arial"/>
          <w:i/>
        </w:rPr>
        <w:t xml:space="preserve">nejeví jako vhodné vymezovat v obecně závazné vyhlášce místa s uvedením konkrétních adres (ulice s číslem popisným) nebo názvu provozoven, neboť z takového výčtu by nebylo možno ověřit, zda obec při určení těchto míst nepostupovala v rozporu se zásadou nediskriminace a zákonem o ochraně hospodářské </w:t>
      </w:r>
      <w:r w:rsidRPr="00BC0781">
        <w:rPr>
          <w:rFonts w:ascii="Arial" w:hAnsi="Arial" w:cs="Arial"/>
          <w:i/>
        </w:rPr>
        <w:lastRenderedPageBreak/>
        <w:t>soutěže. Pokud i přesto obec zvolí tuto variantu regulace, je nutno upozornit, že by obec měla před vydáním obecně závazné vyhlášky prověřit, zda daná provozovna (budova) není chráněnou budovou, v níž je provoz hazardních her zakázán, a to s ohledem na ustanovení § 13 zákona o hazardních hrách</w:t>
      </w:r>
      <w:r w:rsidRPr="00BC0781">
        <w:rPr>
          <w:rFonts w:ascii="Arial" w:hAnsi="Arial" w:cs="Arial"/>
        </w:rPr>
        <w:t>.“</w:t>
      </w:r>
    </w:p>
    <w:p w:rsidR="00BC0781" w:rsidRPr="00BC0781" w:rsidRDefault="00BC0781" w:rsidP="00BC0781">
      <w:pPr>
        <w:pStyle w:val="NormlnIMP"/>
        <w:spacing w:after="120"/>
        <w:rPr>
          <w:rFonts w:ascii="Arial" w:hAnsi="Arial" w:cs="Arial"/>
          <w:bCs/>
          <w:iCs/>
        </w:rPr>
      </w:pPr>
    </w:p>
    <w:p w:rsidR="00BC0781" w:rsidRPr="00BC0781" w:rsidRDefault="00BC0781" w:rsidP="00BC0781">
      <w:pPr>
        <w:pStyle w:val="NormlnIMP"/>
        <w:spacing w:after="120"/>
        <w:rPr>
          <w:rFonts w:ascii="Arial" w:hAnsi="Arial" w:cs="Arial"/>
          <w:bCs/>
          <w:i/>
          <w:iCs/>
        </w:rPr>
      </w:pPr>
      <w:r w:rsidRPr="00BC0781">
        <w:rPr>
          <w:rFonts w:ascii="Arial" w:hAnsi="Arial" w:cs="Arial"/>
          <w:bCs/>
          <w:iCs/>
        </w:rPr>
        <w:t>Otázkou regulace míst loterií a jiných podobných her se již v minulosti opakovaně zabýval i Ústavní soud. Ústavní soud regulaci výčtem adresních míst v minulosti nevyloučil a např. v nálezu Pl. ÚS 56/10 ze dne 7. 9. 2011 konstatuje, že u obecně závazných vyhlášek „</w:t>
      </w:r>
      <w:r w:rsidRPr="00BC0781">
        <w:rPr>
          <w:rFonts w:ascii="Arial" w:hAnsi="Arial" w:cs="Arial"/>
          <w:i/>
        </w:rPr>
        <w:t>zejména označují-li na základě výslovné zákonné autorizace [§ 10 písm. a) obecního zřízení či § 50 odst. 4 loterijního zákona] konkrétní místa (ať už označením čtvrti, ulic a jejich částí či návsi nebo konce v malé vesnici), je nutno požadavek obecnosti regulace interpretovat tak, že se vymezení míst musí opírat o racionální důvody, neutrální a nediskriminační ve vztahu ke konkrétním osobám, na něž regulace při aplikaci dopadá. Nevyplývá-li důvod vymezení konkrétních míst z okolností nebo povahy věci, tíží nakonec obec, jež obecně závaznou vyhlášku vydala, povinnost v řízení před soudem takové racionální a neutrální důvody předestřít a obhájit.“</w:t>
      </w:r>
    </w:p>
    <w:p w:rsidR="00BC0781" w:rsidRPr="00BC0781" w:rsidRDefault="00BC0781" w:rsidP="00BC0781">
      <w:pPr>
        <w:pStyle w:val="NormlnIMP"/>
        <w:spacing w:after="120"/>
        <w:rPr>
          <w:rFonts w:ascii="Arial" w:hAnsi="Arial" w:cs="Arial"/>
          <w:b/>
          <w:bCs/>
          <w:i/>
          <w:iCs/>
        </w:rPr>
      </w:pPr>
    </w:p>
    <w:p w:rsidR="00BC0781" w:rsidRPr="00BC0781" w:rsidRDefault="00BC0781" w:rsidP="00BC0781">
      <w:pPr>
        <w:pStyle w:val="NormlnIMP"/>
        <w:spacing w:after="120"/>
        <w:rPr>
          <w:rFonts w:ascii="Arial" w:hAnsi="Arial" w:cs="Arial"/>
        </w:rPr>
      </w:pPr>
      <w:r w:rsidRPr="00BC0781">
        <w:rPr>
          <w:rFonts w:ascii="Arial" w:hAnsi="Arial" w:cs="Arial"/>
        </w:rPr>
        <w:t xml:space="preserve">Statutární město Prostějov bylo jedním z prvních měst, které vydalo obecně závaznou vyhlášku o regulaci hazardu dle nového zákona o hazardu. Tato varianta regulace není nijak výjimečná a takový způsob má ve svých obecně závazných vyhláškách upravena řada obcí např.: </w:t>
      </w:r>
    </w:p>
    <w:p w:rsidR="00BC0781" w:rsidRPr="00BC0781" w:rsidRDefault="00BC0781" w:rsidP="00BC0781">
      <w:pPr>
        <w:pStyle w:val="NormlnIMP"/>
        <w:spacing w:after="120"/>
        <w:rPr>
          <w:rFonts w:ascii="Arial" w:hAnsi="Arial" w:cs="Arial"/>
        </w:rPr>
      </w:pPr>
    </w:p>
    <w:p w:rsidR="00BC0781" w:rsidRPr="00BC0781" w:rsidRDefault="00BC0781" w:rsidP="00BC0781">
      <w:pPr>
        <w:pStyle w:val="NormlnIMP"/>
        <w:spacing w:after="120"/>
        <w:rPr>
          <w:rFonts w:ascii="Arial" w:hAnsi="Arial" w:cs="Arial"/>
        </w:rPr>
      </w:pPr>
      <w:r w:rsidRPr="00BC0781">
        <w:rPr>
          <w:rFonts w:ascii="Arial" w:hAnsi="Arial" w:cs="Arial"/>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AcroExch.Document.DC" ShapeID="_x0000_i1025" DrawAspect="Icon" ObjectID="_1636287226" r:id="rId10"/>
        </w:object>
      </w:r>
      <w:r w:rsidRPr="00BC0781">
        <w:rPr>
          <w:rFonts w:ascii="Arial" w:hAnsi="Arial" w:cs="Arial"/>
        </w:rPr>
        <w:object w:dxaOrig="1531" w:dyaOrig="990">
          <v:shape id="_x0000_i1026" type="#_x0000_t75" style="width:76.5pt;height:49.5pt" o:ole="">
            <v:imagedata r:id="rId11" o:title=""/>
          </v:shape>
          <o:OLEObject Type="Embed" ProgID="AcroExch.Document.DC" ShapeID="_x0000_i1026" DrawAspect="Icon" ObjectID="_1636287227" r:id="rId12"/>
        </w:object>
      </w:r>
      <w:r w:rsidRPr="00BC0781">
        <w:rPr>
          <w:rFonts w:ascii="Arial" w:hAnsi="Arial" w:cs="Arial"/>
        </w:rPr>
        <w:object w:dxaOrig="1531" w:dyaOrig="990">
          <v:shape id="_x0000_i1027" type="#_x0000_t75" style="width:76.5pt;height:49.5pt" o:ole="">
            <v:imagedata r:id="rId13" o:title=""/>
          </v:shape>
          <o:OLEObject Type="Embed" ProgID="AcroExch.Document.DC" ShapeID="_x0000_i1027" DrawAspect="Icon" ObjectID="_1636287228" r:id="rId14"/>
        </w:object>
      </w:r>
      <w:r w:rsidRPr="00BC0781">
        <w:rPr>
          <w:rFonts w:ascii="Arial" w:hAnsi="Arial" w:cs="Arial"/>
        </w:rPr>
        <w:object w:dxaOrig="1531" w:dyaOrig="990">
          <v:shape id="_x0000_i1028" type="#_x0000_t75" style="width:76.5pt;height:49.5pt" o:ole="">
            <v:imagedata r:id="rId15" o:title=""/>
          </v:shape>
          <o:OLEObject Type="Embed" ProgID="AcroExch.Document.DC" ShapeID="_x0000_i1028" DrawAspect="Icon" ObjectID="_1636287229" r:id="rId16"/>
        </w:object>
      </w:r>
      <w:r w:rsidRPr="00BC0781">
        <w:rPr>
          <w:rFonts w:ascii="Arial" w:hAnsi="Arial" w:cs="Arial"/>
        </w:rPr>
        <w:object w:dxaOrig="1531" w:dyaOrig="990">
          <v:shape id="_x0000_i1029" type="#_x0000_t75" style="width:76.5pt;height:49.5pt" o:ole="">
            <v:imagedata r:id="rId17" o:title=""/>
          </v:shape>
          <o:OLEObject Type="Embed" ProgID="AcroExch.Document.DC" ShapeID="_x0000_i1029" DrawAspect="Icon" ObjectID="_1636287230" r:id="rId18"/>
        </w:object>
      </w:r>
      <w:r w:rsidRPr="00BC0781">
        <w:rPr>
          <w:rFonts w:ascii="Arial" w:hAnsi="Arial" w:cs="Arial"/>
        </w:rPr>
        <w:object w:dxaOrig="1531" w:dyaOrig="990">
          <v:shape id="_x0000_i1030" type="#_x0000_t75" style="width:76.5pt;height:49.5pt" o:ole="">
            <v:imagedata r:id="rId19" o:title=""/>
          </v:shape>
          <o:OLEObject Type="Embed" ProgID="AcroExch.Document.DC" ShapeID="_x0000_i1030" DrawAspect="Icon" ObjectID="_1636287231" r:id="rId20"/>
        </w:object>
      </w:r>
      <w:r w:rsidRPr="00BC0781">
        <w:rPr>
          <w:rFonts w:ascii="Arial" w:hAnsi="Arial" w:cs="Arial"/>
        </w:rPr>
        <w:object w:dxaOrig="1531" w:dyaOrig="990">
          <v:shape id="_x0000_i1031" type="#_x0000_t75" style="width:76.5pt;height:49.5pt" o:ole="">
            <v:imagedata r:id="rId21" o:title=""/>
          </v:shape>
          <o:OLEObject Type="Embed" ProgID="AcroExch.Document.DC" ShapeID="_x0000_i1031" DrawAspect="Icon" ObjectID="_1636287232" r:id="rId22"/>
        </w:object>
      </w:r>
      <w:r w:rsidRPr="00BC0781">
        <w:rPr>
          <w:rFonts w:ascii="Arial" w:hAnsi="Arial" w:cs="Arial"/>
        </w:rPr>
        <w:object w:dxaOrig="1531" w:dyaOrig="990">
          <v:shape id="_x0000_i1032" type="#_x0000_t75" style="width:76.5pt;height:49.5pt" o:ole="">
            <v:imagedata r:id="rId23" o:title=""/>
          </v:shape>
          <o:OLEObject Type="Embed" ProgID="AcroExch.Document.DC" ShapeID="_x0000_i1032" DrawAspect="Icon" ObjectID="_1636287233" r:id="rId24"/>
        </w:object>
      </w:r>
    </w:p>
    <w:p w:rsidR="00BC0781" w:rsidRPr="00BC0781" w:rsidRDefault="00BC0781" w:rsidP="00BC0781">
      <w:pPr>
        <w:pStyle w:val="NormlnIMP"/>
        <w:spacing w:after="120"/>
        <w:rPr>
          <w:rFonts w:ascii="Arial" w:hAnsi="Arial" w:cs="Arial"/>
        </w:rPr>
      </w:pPr>
      <w:r w:rsidRPr="00BC0781">
        <w:rPr>
          <w:rFonts w:ascii="Arial" w:hAnsi="Arial" w:cs="Arial"/>
        </w:rPr>
        <w:t xml:space="preserve">Nicméně ze strany MV ČR a ÚOHS je kladen velký důraz, aby byla obec schopna zdůvodnit cíl regulace, vysvětlit vztah proporcionality mezi zvoleným cílem a způsobem regulace a dále doložit, že zvolený způsob regulace nepůsobí diskriminačně vůči soutěžitelům, kteří se na trhu nacházejí či na něj uvažují vstoupit. </w:t>
      </w:r>
    </w:p>
    <w:p w:rsidR="00BC0781" w:rsidRPr="00BC0781" w:rsidRDefault="00BC0781" w:rsidP="00BC0781">
      <w:pPr>
        <w:pStyle w:val="NormlnIMP"/>
        <w:spacing w:after="120"/>
        <w:rPr>
          <w:rFonts w:ascii="Arial" w:hAnsi="Arial" w:cs="Arial"/>
        </w:rPr>
      </w:pPr>
    </w:p>
    <w:p w:rsidR="00BC0781" w:rsidRPr="00BC0781" w:rsidRDefault="00BC0781" w:rsidP="00BC0781">
      <w:pPr>
        <w:pStyle w:val="NormlnIMP"/>
        <w:spacing w:after="120"/>
        <w:rPr>
          <w:rFonts w:ascii="Arial" w:hAnsi="Arial" w:cs="Arial"/>
        </w:rPr>
      </w:pPr>
      <w:r w:rsidRPr="00BC0781">
        <w:rPr>
          <w:rFonts w:ascii="Arial" w:hAnsi="Arial" w:cs="Arial"/>
        </w:rPr>
        <w:t xml:space="preserve">V nedávné době ÚOHS udělil pokuty několika obcím za to, že obecně závaznou vyhláškou umožnily provozování sázkových her, loterií a jiných podobných her </w:t>
      </w:r>
      <w:r w:rsidRPr="00BC0781">
        <w:rPr>
          <w:rFonts w:ascii="Arial" w:hAnsi="Arial" w:cs="Arial"/>
          <w:b/>
        </w:rPr>
        <w:t>pouze na adresních místech uvedených v obecně závazné vyhlášce, aniž by výběr adresních míst provedly na základě objektivních, nediskriminačních a předem známých kritérií a narušily bez objektivně ospravedlnitelných důvodů hospodářskou soutěž</w:t>
      </w:r>
      <w:r w:rsidRPr="00BC0781">
        <w:rPr>
          <w:rFonts w:ascii="Arial" w:hAnsi="Arial" w:cs="Arial"/>
        </w:rPr>
        <w:t xml:space="preserve"> na trhu provozování sázkových her, loterií a jiných podobných her. Rozhodnutí se týkalo města Varnsdorf – pokuta ve výši 327.000,- Kč, obce Nučice – pokuta ve výši 73.000,- Kč, města Karlovy Vary – pokuta ve výši 734.000,- Kč, města Děčín – pokuta ve výši 499.000,- Kč, města Bílina – pokuta ve výši 275.000,- Kč. Jiná správní řízení stále probíhají a počet měst, kterým bude uložena pokuta, může být větší. Přestože šlo o obecně závazné vyhlášky vydané dle dříve platného zákona o loteriích, stejná pravidla platí i pro o obecně závazné vyhlášky vydané dle, v současnosti účinného, zákona o hazardu. </w:t>
      </w:r>
    </w:p>
    <w:p w:rsidR="00BC0781" w:rsidRPr="00BC0781" w:rsidRDefault="00BC0781" w:rsidP="00BC0781">
      <w:pPr>
        <w:pStyle w:val="NormlnIMP"/>
        <w:spacing w:after="120"/>
        <w:rPr>
          <w:rFonts w:ascii="Arial" w:hAnsi="Arial" w:cs="Arial"/>
        </w:rPr>
      </w:pPr>
    </w:p>
    <w:p w:rsidR="00BC0781" w:rsidRPr="00BC0781" w:rsidRDefault="00BC0781" w:rsidP="00BC0781">
      <w:pPr>
        <w:pStyle w:val="NormlnIMP"/>
        <w:spacing w:after="120"/>
        <w:rPr>
          <w:rFonts w:ascii="Arial" w:hAnsi="Arial" w:cs="Arial"/>
          <w:bCs/>
          <w:iCs/>
        </w:rPr>
      </w:pPr>
      <w:r w:rsidRPr="00BC0781">
        <w:rPr>
          <w:rFonts w:ascii="Arial" w:hAnsi="Arial" w:cs="Arial"/>
          <w:bCs/>
          <w:iCs/>
        </w:rPr>
        <w:object w:dxaOrig="1531" w:dyaOrig="990">
          <v:shape id="_x0000_i1033" type="#_x0000_t75" style="width:76.5pt;height:49.5pt" o:ole="">
            <v:imagedata r:id="rId25" o:title=""/>
          </v:shape>
          <o:OLEObject Type="Embed" ProgID="AcroExch.Document.DC" ShapeID="_x0000_i1033" DrawAspect="Icon" ObjectID="_1636287234" r:id="rId26"/>
        </w:object>
      </w:r>
      <w:r w:rsidRPr="00BC0781">
        <w:rPr>
          <w:rFonts w:ascii="Arial" w:hAnsi="Arial" w:cs="Arial"/>
          <w:bCs/>
          <w:iCs/>
        </w:rPr>
        <w:object w:dxaOrig="1531" w:dyaOrig="990">
          <v:shape id="_x0000_i1034" type="#_x0000_t75" style="width:76.5pt;height:49.5pt" o:ole="">
            <v:imagedata r:id="rId27" o:title=""/>
          </v:shape>
          <o:OLEObject Type="Embed" ProgID="AcroExch.Document.DC" ShapeID="_x0000_i1034" DrawAspect="Icon" ObjectID="_1636287235" r:id="rId28"/>
        </w:object>
      </w:r>
      <w:r w:rsidRPr="00BC0781">
        <w:rPr>
          <w:rFonts w:ascii="Arial" w:hAnsi="Arial" w:cs="Arial"/>
          <w:bCs/>
          <w:iCs/>
        </w:rPr>
        <w:object w:dxaOrig="1531" w:dyaOrig="990">
          <v:shape id="_x0000_i1035" type="#_x0000_t75" style="width:76.5pt;height:49.5pt" o:ole="">
            <v:imagedata r:id="rId29" o:title=""/>
          </v:shape>
          <o:OLEObject Type="Embed" ProgID="AcroExch.Document.DC" ShapeID="_x0000_i1035" DrawAspect="Icon" ObjectID="_1636287236" r:id="rId30"/>
        </w:object>
      </w:r>
      <w:r w:rsidRPr="00BC0781">
        <w:rPr>
          <w:rFonts w:ascii="Arial" w:hAnsi="Arial" w:cs="Arial"/>
          <w:bCs/>
          <w:iCs/>
        </w:rPr>
        <w:object w:dxaOrig="1531" w:dyaOrig="990">
          <v:shape id="_x0000_i1036" type="#_x0000_t75" style="width:76.5pt;height:49.5pt" o:ole="">
            <v:imagedata r:id="rId31" o:title=""/>
          </v:shape>
          <o:OLEObject Type="Embed" ProgID="AcroExch.Document.DC" ShapeID="_x0000_i1036" DrawAspect="Icon" ObjectID="_1636287237" r:id="rId32"/>
        </w:object>
      </w:r>
      <w:r w:rsidRPr="00BC0781">
        <w:rPr>
          <w:rFonts w:ascii="Arial" w:hAnsi="Arial" w:cs="Arial"/>
          <w:bCs/>
          <w:iCs/>
        </w:rPr>
        <w:object w:dxaOrig="1531" w:dyaOrig="990">
          <v:shape id="_x0000_i1037" type="#_x0000_t75" style="width:76.5pt;height:49.5pt" o:ole="">
            <v:imagedata r:id="rId33" o:title=""/>
          </v:shape>
          <o:OLEObject Type="Embed" ProgID="AcroExch.Document.DC" ShapeID="_x0000_i1037" DrawAspect="Icon" ObjectID="_1636287238" r:id="rId34"/>
        </w:object>
      </w:r>
    </w:p>
    <w:p w:rsidR="00BC0781" w:rsidRPr="00BC0781" w:rsidRDefault="00BC0781" w:rsidP="00BC0781">
      <w:pPr>
        <w:pStyle w:val="NormlnIMP"/>
        <w:spacing w:after="120"/>
        <w:rPr>
          <w:rFonts w:ascii="Arial" w:hAnsi="Arial" w:cs="Arial"/>
          <w:bCs/>
          <w:iCs/>
        </w:rPr>
      </w:pPr>
      <w:r w:rsidRPr="00BC0781">
        <w:rPr>
          <w:rFonts w:ascii="Arial" w:hAnsi="Arial" w:cs="Arial"/>
          <w:bCs/>
          <w:iCs/>
        </w:rPr>
        <w:t>Dle důvodové zprávy k přijetí OZV č. 6/2017 byla kritéria pro výběr adresních míst provozoven hazardních her na území města Prostějova následující:</w:t>
      </w:r>
    </w:p>
    <w:p w:rsidR="00BC0781" w:rsidRPr="00BC0781" w:rsidRDefault="00BC0781" w:rsidP="00BC0781">
      <w:pPr>
        <w:pStyle w:val="NormlnIMP"/>
        <w:spacing w:after="120"/>
        <w:rPr>
          <w:rFonts w:ascii="Arial" w:hAnsi="Arial" w:cs="Arial"/>
          <w:bCs/>
          <w:iCs/>
        </w:rPr>
      </w:pPr>
    </w:p>
    <w:p w:rsidR="00BC0781" w:rsidRPr="00BC0781" w:rsidRDefault="00BC0781" w:rsidP="00BC0781">
      <w:pPr>
        <w:pStyle w:val="NormlnIMP"/>
        <w:numPr>
          <w:ilvl w:val="0"/>
          <w:numId w:val="36"/>
        </w:numPr>
        <w:spacing w:after="120"/>
        <w:rPr>
          <w:rFonts w:ascii="Arial" w:hAnsi="Arial" w:cs="Arial"/>
          <w:bCs/>
          <w:iCs/>
        </w:rPr>
      </w:pPr>
      <w:r w:rsidRPr="00BC0781">
        <w:rPr>
          <w:rFonts w:ascii="Arial" w:hAnsi="Arial" w:cs="Arial"/>
          <w:bCs/>
          <w:iCs/>
        </w:rPr>
        <w:t xml:space="preserve">provozovny hazardních her by se neměly nacházet v bezprostřední blízkosti školy, školského zařízení či veřejné budovy, </w:t>
      </w:r>
    </w:p>
    <w:p w:rsidR="00BC0781" w:rsidRPr="00BC0781" w:rsidRDefault="00BC0781" w:rsidP="00BC0781">
      <w:pPr>
        <w:pStyle w:val="NormlnIMP"/>
        <w:numPr>
          <w:ilvl w:val="0"/>
          <w:numId w:val="36"/>
        </w:numPr>
        <w:spacing w:after="120"/>
        <w:rPr>
          <w:rFonts w:ascii="Arial" w:hAnsi="Arial" w:cs="Arial"/>
          <w:bCs/>
          <w:iCs/>
        </w:rPr>
      </w:pPr>
      <w:r w:rsidRPr="00BC0781">
        <w:rPr>
          <w:rFonts w:ascii="Arial" w:hAnsi="Arial" w:cs="Arial"/>
          <w:bCs/>
          <w:iCs/>
        </w:rPr>
        <w:t>provozovny hazardních her by neměly být všechny umístěny v jedné části města, aby se případné negativní dopady spojené s provozováním těchto her nekumulovaly v jednom místě,</w:t>
      </w:r>
    </w:p>
    <w:p w:rsidR="00BC0781" w:rsidRPr="00BC0781" w:rsidRDefault="00BC0781" w:rsidP="00BC0781">
      <w:pPr>
        <w:pStyle w:val="NormlnIMP"/>
        <w:numPr>
          <w:ilvl w:val="0"/>
          <w:numId w:val="36"/>
        </w:numPr>
        <w:spacing w:after="120"/>
        <w:rPr>
          <w:rFonts w:ascii="Arial" w:hAnsi="Arial" w:cs="Arial"/>
          <w:bCs/>
          <w:iCs/>
        </w:rPr>
      </w:pPr>
      <w:r w:rsidRPr="00BC0781">
        <w:rPr>
          <w:rFonts w:ascii="Arial" w:hAnsi="Arial" w:cs="Arial"/>
          <w:bCs/>
          <w:iCs/>
        </w:rPr>
        <w:t xml:space="preserve">provozovny hazardních her by se neměly nacházet v částech města s vysokou mírou kriminality, sociálně vyloučených oblastech a v oblastech, v nichž byly v minulosti časté stížnosti na problémy způsobené provozováním hazardních her, </w:t>
      </w:r>
    </w:p>
    <w:p w:rsidR="00BC0781" w:rsidRPr="00BC0781" w:rsidRDefault="00BC0781" w:rsidP="00BC0781">
      <w:pPr>
        <w:pStyle w:val="NormlnIMP"/>
        <w:numPr>
          <w:ilvl w:val="0"/>
          <w:numId w:val="36"/>
        </w:numPr>
        <w:spacing w:after="120"/>
        <w:rPr>
          <w:rFonts w:ascii="Arial" w:hAnsi="Arial" w:cs="Arial"/>
          <w:bCs/>
          <w:iCs/>
        </w:rPr>
      </w:pPr>
      <w:r w:rsidRPr="00BC0781">
        <w:rPr>
          <w:rFonts w:ascii="Arial" w:hAnsi="Arial" w:cs="Arial"/>
          <w:bCs/>
          <w:iCs/>
        </w:rPr>
        <w:t xml:space="preserve">provozovny hazardních her by se neměly nacházet ani v těch částech města, v nichž to bude v rozporu s jejich charakterem, např. nám. T.G. Masaryka či v klidných rezidenčních lokalitách. </w:t>
      </w:r>
    </w:p>
    <w:p w:rsidR="00BC0781" w:rsidRPr="00BC0781" w:rsidRDefault="00BC0781" w:rsidP="00BC0781">
      <w:pPr>
        <w:pStyle w:val="NormlnIMP"/>
        <w:spacing w:after="120"/>
        <w:rPr>
          <w:rFonts w:ascii="Arial" w:hAnsi="Arial" w:cs="Arial"/>
          <w:bCs/>
          <w:iCs/>
        </w:rPr>
      </w:pPr>
    </w:p>
    <w:p w:rsidR="00BC0781" w:rsidRPr="00BC0781" w:rsidRDefault="00BC0781" w:rsidP="00BC0781">
      <w:pPr>
        <w:pStyle w:val="NormlnIMP"/>
        <w:spacing w:after="120"/>
        <w:rPr>
          <w:rFonts w:ascii="Arial" w:hAnsi="Arial" w:cs="Arial"/>
          <w:b/>
          <w:bCs/>
          <w:iCs/>
        </w:rPr>
      </w:pPr>
      <w:r w:rsidRPr="00BC0781">
        <w:rPr>
          <w:rFonts w:ascii="Arial" w:hAnsi="Arial" w:cs="Arial"/>
          <w:bCs/>
          <w:iCs/>
        </w:rPr>
        <w:t xml:space="preserve">Dle posouzení Ministerstva vnitra ČR ze dne 22. 2. 2017 k návrhu OZV č. 6/2017 </w:t>
      </w:r>
      <w:r w:rsidRPr="00BC0781">
        <w:rPr>
          <w:rFonts w:ascii="Arial" w:hAnsi="Arial" w:cs="Arial"/>
          <w:b/>
          <w:bCs/>
          <w:iCs/>
        </w:rPr>
        <w:t xml:space="preserve">lze tato kritéria považovat za racionální a nediskriminační vůči konkrétním provozovatelům. </w:t>
      </w:r>
    </w:p>
    <w:p w:rsidR="00BC0781" w:rsidRPr="00BC0781" w:rsidRDefault="00BC0781" w:rsidP="00BC0781">
      <w:pPr>
        <w:pStyle w:val="NormlnIMP"/>
        <w:spacing w:after="120"/>
        <w:rPr>
          <w:rFonts w:ascii="Arial" w:hAnsi="Arial" w:cs="Arial"/>
          <w:b/>
          <w:bCs/>
          <w:iCs/>
        </w:rPr>
      </w:pPr>
    </w:p>
    <w:p w:rsidR="00BC0781" w:rsidRPr="00BC0781" w:rsidRDefault="00BC0781" w:rsidP="00BC0781">
      <w:pPr>
        <w:pStyle w:val="NormlnIMP"/>
        <w:spacing w:after="120" w:line="240" w:lineRule="auto"/>
        <w:rPr>
          <w:rFonts w:ascii="Arial" w:hAnsi="Arial" w:cs="Arial"/>
        </w:rPr>
      </w:pPr>
      <w:r w:rsidRPr="00BC0781">
        <w:rPr>
          <w:rFonts w:ascii="Arial" w:hAnsi="Arial" w:cs="Arial"/>
        </w:rPr>
        <w:t xml:space="preserve">Naopak dle sdělení ÚOHS č ze dne 23. 8. 2019 nelze taková kritéria považovat za určitá, objektivní a nediskriminační.  </w:t>
      </w:r>
    </w:p>
    <w:p w:rsidR="00BC0781" w:rsidRDefault="00BC0781" w:rsidP="00BC0781">
      <w:pPr>
        <w:pStyle w:val="NormlnIMP"/>
        <w:spacing w:after="120"/>
        <w:rPr>
          <w:rFonts w:ascii="Arial" w:hAnsi="Arial" w:cs="Arial"/>
          <w:b/>
          <w:bCs/>
          <w:iCs/>
        </w:rPr>
      </w:pPr>
    </w:p>
    <w:p w:rsidR="004B6ABA" w:rsidRPr="00BC0781" w:rsidRDefault="004B6ABA" w:rsidP="00BC0781">
      <w:pPr>
        <w:pStyle w:val="NormlnIMP"/>
        <w:spacing w:after="120"/>
        <w:rPr>
          <w:rFonts w:ascii="Arial" w:hAnsi="Arial" w:cs="Arial"/>
          <w:b/>
          <w:bCs/>
          <w:iCs/>
        </w:rPr>
      </w:pPr>
    </w:p>
    <w:p w:rsidR="00BC0781" w:rsidRPr="00BC0781" w:rsidRDefault="00BC0781" w:rsidP="00BC0781">
      <w:pPr>
        <w:pStyle w:val="NormlnIMP"/>
        <w:numPr>
          <w:ilvl w:val="0"/>
          <w:numId w:val="41"/>
        </w:numPr>
        <w:spacing w:after="120"/>
        <w:rPr>
          <w:rFonts w:ascii="Arial" w:hAnsi="Arial" w:cs="Arial"/>
          <w:b/>
          <w:sz w:val="28"/>
          <w:szCs w:val="28"/>
        </w:rPr>
      </w:pPr>
      <w:r w:rsidRPr="00BC0781">
        <w:rPr>
          <w:rFonts w:ascii="Arial" w:hAnsi="Arial" w:cs="Arial"/>
          <w:b/>
          <w:sz w:val="28"/>
          <w:szCs w:val="28"/>
        </w:rPr>
        <w:t xml:space="preserve">Návrh úpravy regulace hazardních her na území statutárního města Prostějova </w:t>
      </w:r>
    </w:p>
    <w:p w:rsidR="00BC0781" w:rsidRDefault="00BC0781" w:rsidP="00BC0781">
      <w:pPr>
        <w:pStyle w:val="NormlnIMP"/>
        <w:spacing w:after="120"/>
        <w:rPr>
          <w:rFonts w:ascii="Arial" w:hAnsi="Arial" w:cs="Arial"/>
          <w:b/>
        </w:rPr>
      </w:pPr>
    </w:p>
    <w:p w:rsidR="00BC0781" w:rsidRPr="00BC0781" w:rsidRDefault="00BC0781" w:rsidP="00BC0781">
      <w:pPr>
        <w:pStyle w:val="NormlnIMP"/>
        <w:spacing w:after="120"/>
        <w:rPr>
          <w:rFonts w:ascii="Arial" w:hAnsi="Arial" w:cs="Arial"/>
          <w:b/>
          <w:bCs/>
          <w:iCs/>
        </w:rPr>
      </w:pPr>
      <w:r w:rsidRPr="00BC0781">
        <w:rPr>
          <w:rFonts w:ascii="Arial" w:hAnsi="Arial" w:cs="Arial"/>
          <w:b/>
          <w:bCs/>
          <w:iCs/>
        </w:rPr>
        <w:t>Navržený způsob regulace hazardních her</w:t>
      </w:r>
      <w:r>
        <w:rPr>
          <w:rFonts w:ascii="Arial" w:hAnsi="Arial" w:cs="Arial"/>
          <w:b/>
          <w:bCs/>
          <w:iCs/>
        </w:rPr>
        <w:t>:</w:t>
      </w:r>
    </w:p>
    <w:p w:rsidR="00BC0781" w:rsidRPr="00BC0781" w:rsidRDefault="00BC0781" w:rsidP="00BC0781">
      <w:pPr>
        <w:pStyle w:val="NormlnIMP"/>
        <w:spacing w:after="120"/>
        <w:rPr>
          <w:rFonts w:ascii="Arial" w:hAnsi="Arial" w:cs="Arial"/>
          <w:b/>
          <w:bCs/>
          <w:iCs/>
        </w:rPr>
      </w:pPr>
    </w:p>
    <w:p w:rsidR="00BC0781" w:rsidRPr="00BC0781" w:rsidRDefault="00BC0781" w:rsidP="00BC0781">
      <w:pPr>
        <w:pStyle w:val="NormlnIMP"/>
        <w:numPr>
          <w:ilvl w:val="0"/>
          <w:numId w:val="40"/>
        </w:numPr>
        <w:spacing w:after="120"/>
        <w:rPr>
          <w:rFonts w:ascii="Arial" w:hAnsi="Arial" w:cs="Arial"/>
          <w:b/>
          <w:bCs/>
          <w:iCs/>
        </w:rPr>
      </w:pPr>
      <w:r w:rsidRPr="00BC0781">
        <w:rPr>
          <w:rFonts w:ascii="Arial" w:hAnsi="Arial" w:cs="Arial"/>
          <w:b/>
          <w:bCs/>
          <w:iCs/>
        </w:rPr>
        <w:t>návrh regulace druhů hazardních her</w:t>
      </w:r>
    </w:p>
    <w:p w:rsidR="00BC0781" w:rsidRPr="00BC0781" w:rsidRDefault="00BC0781" w:rsidP="00BC0781">
      <w:pPr>
        <w:pStyle w:val="NormlnIMP"/>
        <w:spacing w:after="120"/>
        <w:rPr>
          <w:rFonts w:ascii="Arial" w:hAnsi="Arial" w:cs="Arial"/>
          <w:b/>
          <w:bCs/>
          <w:iCs/>
        </w:rPr>
      </w:pPr>
    </w:p>
    <w:p w:rsidR="00BC0781" w:rsidRPr="00BC0781" w:rsidRDefault="00BC0781" w:rsidP="00BC0781">
      <w:pPr>
        <w:pStyle w:val="NormlnIMP"/>
        <w:spacing w:after="120"/>
        <w:rPr>
          <w:rFonts w:ascii="Arial" w:hAnsi="Arial" w:cs="Arial"/>
          <w:bCs/>
          <w:iCs/>
        </w:rPr>
      </w:pPr>
      <w:r w:rsidRPr="00BC0781">
        <w:rPr>
          <w:rFonts w:ascii="Arial" w:hAnsi="Arial" w:cs="Arial"/>
          <w:bCs/>
          <w:iCs/>
        </w:rPr>
        <w:t xml:space="preserve">Zákon o hazardních hrách umožnuje obecně závaznou vyhláškou regulovat tyto druhy hazardních her: </w:t>
      </w:r>
    </w:p>
    <w:p w:rsidR="00BC0781" w:rsidRPr="00BC0781" w:rsidRDefault="00BC0781" w:rsidP="00BC0781">
      <w:pPr>
        <w:pStyle w:val="NormlnIMP"/>
        <w:spacing w:after="120"/>
        <w:rPr>
          <w:rFonts w:ascii="Arial" w:hAnsi="Arial" w:cs="Arial"/>
          <w:bCs/>
          <w:iCs/>
        </w:rPr>
      </w:pPr>
    </w:p>
    <w:p w:rsidR="00BC0781" w:rsidRPr="00BC0781" w:rsidRDefault="00BC0781" w:rsidP="00BC0781">
      <w:pPr>
        <w:pStyle w:val="NormlnIMP"/>
        <w:numPr>
          <w:ilvl w:val="0"/>
          <w:numId w:val="32"/>
        </w:numPr>
        <w:spacing w:after="120"/>
        <w:rPr>
          <w:rFonts w:ascii="Arial" w:hAnsi="Arial" w:cs="Arial"/>
          <w:bCs/>
          <w:iCs/>
        </w:rPr>
      </w:pPr>
      <w:r w:rsidRPr="00BC0781">
        <w:rPr>
          <w:rFonts w:ascii="Arial" w:hAnsi="Arial" w:cs="Arial"/>
          <w:bCs/>
          <w:iCs/>
        </w:rPr>
        <w:t>bingo (§ 39 a násl. zákona o hazardu)</w:t>
      </w:r>
    </w:p>
    <w:p w:rsidR="00BC0781" w:rsidRPr="00BC0781" w:rsidRDefault="00BC0781" w:rsidP="00BC0781">
      <w:pPr>
        <w:pStyle w:val="NormlnIMP"/>
        <w:numPr>
          <w:ilvl w:val="0"/>
          <w:numId w:val="32"/>
        </w:numPr>
        <w:spacing w:after="120"/>
        <w:rPr>
          <w:rFonts w:ascii="Arial" w:hAnsi="Arial" w:cs="Arial"/>
          <w:bCs/>
          <w:iCs/>
        </w:rPr>
      </w:pPr>
      <w:r w:rsidRPr="00BC0781">
        <w:rPr>
          <w:rFonts w:ascii="Arial" w:hAnsi="Arial" w:cs="Arial"/>
          <w:bCs/>
          <w:iCs/>
        </w:rPr>
        <w:t>technickou hru (§ 42 a násl. zákona o hazardu)</w:t>
      </w:r>
    </w:p>
    <w:p w:rsidR="00BC0781" w:rsidRPr="00BC0781" w:rsidRDefault="00BC0781" w:rsidP="00BC0781">
      <w:pPr>
        <w:pStyle w:val="NormlnIMP"/>
        <w:numPr>
          <w:ilvl w:val="0"/>
          <w:numId w:val="32"/>
        </w:numPr>
        <w:spacing w:after="120"/>
        <w:rPr>
          <w:rFonts w:ascii="Arial" w:hAnsi="Arial" w:cs="Arial"/>
          <w:bCs/>
          <w:iCs/>
        </w:rPr>
      </w:pPr>
      <w:r w:rsidRPr="00BC0781">
        <w:rPr>
          <w:rFonts w:ascii="Arial" w:hAnsi="Arial" w:cs="Arial"/>
          <w:bCs/>
          <w:iCs/>
        </w:rPr>
        <w:t>živou hru (§ 57 a násl. zákon o hazardu)</w:t>
      </w:r>
    </w:p>
    <w:p w:rsidR="00BC0781" w:rsidRPr="00BC0781" w:rsidRDefault="00BC0781" w:rsidP="00BC0781">
      <w:pPr>
        <w:pStyle w:val="NormlnIMP"/>
        <w:numPr>
          <w:ilvl w:val="0"/>
          <w:numId w:val="32"/>
        </w:numPr>
        <w:spacing w:after="120"/>
        <w:rPr>
          <w:rFonts w:ascii="Arial" w:hAnsi="Arial" w:cs="Arial"/>
          <w:bCs/>
          <w:iCs/>
        </w:rPr>
      </w:pPr>
      <w:r w:rsidRPr="00BC0781">
        <w:rPr>
          <w:rFonts w:ascii="Arial" w:hAnsi="Arial" w:cs="Arial"/>
          <w:bCs/>
          <w:iCs/>
        </w:rPr>
        <w:t>turnaj malého rozsahu (§ 64 zákona o hazardu)</w:t>
      </w:r>
    </w:p>
    <w:p w:rsidR="00BC0781" w:rsidRPr="00BC0781" w:rsidRDefault="00BC0781" w:rsidP="00BC0781">
      <w:pPr>
        <w:pStyle w:val="NormlnIMP"/>
        <w:spacing w:after="120"/>
        <w:rPr>
          <w:rFonts w:ascii="Arial" w:hAnsi="Arial" w:cs="Arial"/>
          <w:b/>
          <w:bCs/>
          <w:iCs/>
        </w:rPr>
      </w:pPr>
    </w:p>
    <w:p w:rsidR="00BC0781" w:rsidRPr="00BC0781" w:rsidRDefault="00BC0781" w:rsidP="00BC0781">
      <w:pPr>
        <w:pStyle w:val="NormlnIMP"/>
        <w:spacing w:after="120"/>
        <w:rPr>
          <w:rFonts w:ascii="Arial" w:hAnsi="Arial" w:cs="Arial"/>
          <w:b/>
          <w:bCs/>
          <w:iCs/>
        </w:rPr>
      </w:pPr>
      <w:r w:rsidRPr="00BC0781">
        <w:rPr>
          <w:rFonts w:ascii="Arial" w:hAnsi="Arial" w:cs="Arial"/>
          <w:bCs/>
          <w:iCs/>
        </w:rPr>
        <w:t xml:space="preserve">Z těchto druhů hazardních her je bingo, technickou hru a živou hru možné provozovat pouze v herním prostoru (herna či kasino). Turnaj malého rozsahu naopak nelze v herně a kasinu provozovat. Vzhledem k možnému provozování turnaje malého rozsahu na libovolném místě a vzhledem značnému omezení vkladů v tomto turnaji, kdy vklad jednoho účastníka nesmí převýšit 500,- Kč za 24 hodin, navrhujeme turnaj malého rozsahu z regulace hazardních her obecně závaznou vyhláškou vypustit. Regulace provedená obecně závaznou vyhláškou by se tak vztahovala pouze na bingo, technickou hru a živou hru, </w:t>
      </w:r>
      <w:r w:rsidRPr="00BC0781">
        <w:rPr>
          <w:rFonts w:ascii="Arial" w:hAnsi="Arial" w:cs="Arial"/>
          <w:b/>
          <w:bCs/>
          <w:iCs/>
        </w:rPr>
        <w:t xml:space="preserve">obdobně jako to je nyní u OZV č. 6/2017. </w:t>
      </w:r>
    </w:p>
    <w:p w:rsidR="00BC0781" w:rsidRPr="00BC0781" w:rsidRDefault="00BC0781" w:rsidP="00BC0781">
      <w:pPr>
        <w:pStyle w:val="NormlnIMP"/>
        <w:spacing w:after="120"/>
        <w:rPr>
          <w:rFonts w:ascii="Arial" w:hAnsi="Arial" w:cs="Arial"/>
          <w:b/>
          <w:bCs/>
          <w:iCs/>
        </w:rPr>
      </w:pPr>
    </w:p>
    <w:p w:rsidR="00BC0781" w:rsidRPr="00BC0781" w:rsidRDefault="00BC0781" w:rsidP="00BC0781">
      <w:pPr>
        <w:pStyle w:val="NormlnIMP"/>
        <w:spacing w:after="120"/>
        <w:rPr>
          <w:rFonts w:ascii="Arial" w:hAnsi="Arial" w:cs="Arial"/>
          <w:b/>
          <w:bCs/>
          <w:iCs/>
        </w:rPr>
      </w:pPr>
    </w:p>
    <w:p w:rsidR="00BC0781" w:rsidRPr="00BC0781" w:rsidRDefault="00BC0781" w:rsidP="00BC0781">
      <w:pPr>
        <w:pStyle w:val="NormlnIMP"/>
        <w:numPr>
          <w:ilvl w:val="0"/>
          <w:numId w:val="40"/>
        </w:numPr>
        <w:spacing w:after="120"/>
        <w:rPr>
          <w:rFonts w:ascii="Arial" w:hAnsi="Arial" w:cs="Arial"/>
          <w:b/>
          <w:bCs/>
          <w:iCs/>
        </w:rPr>
      </w:pPr>
      <w:r w:rsidRPr="00BC0781">
        <w:rPr>
          <w:rFonts w:ascii="Arial" w:hAnsi="Arial" w:cs="Arial"/>
          <w:b/>
          <w:bCs/>
          <w:iCs/>
        </w:rPr>
        <w:t>návrh regulace míst provozoven hazardních her</w:t>
      </w:r>
    </w:p>
    <w:p w:rsidR="00BC0781" w:rsidRPr="00BC0781" w:rsidRDefault="00BC0781" w:rsidP="00BC0781">
      <w:pPr>
        <w:pStyle w:val="NormlnIMP"/>
        <w:spacing w:after="120"/>
        <w:rPr>
          <w:rFonts w:ascii="Arial" w:hAnsi="Arial" w:cs="Arial"/>
          <w:bCs/>
          <w:iCs/>
        </w:rPr>
      </w:pPr>
    </w:p>
    <w:p w:rsidR="00BC0781" w:rsidRPr="00BC0781" w:rsidRDefault="00BC0781" w:rsidP="00BC0781">
      <w:pPr>
        <w:pStyle w:val="NormlnIMP"/>
        <w:spacing w:after="120" w:line="240" w:lineRule="auto"/>
        <w:rPr>
          <w:rFonts w:ascii="Arial" w:hAnsi="Arial" w:cs="Arial"/>
        </w:rPr>
      </w:pPr>
      <w:r w:rsidRPr="00BC0781">
        <w:rPr>
          <w:rFonts w:ascii="Arial" w:hAnsi="Arial" w:cs="Arial"/>
          <w:bCs/>
          <w:iCs/>
        </w:rPr>
        <w:t>Přestože ze strany ÚOHS nedošlo k zahájení správního řízení o možném porušení hospodářské soutěže, v</w:t>
      </w:r>
      <w:r w:rsidRPr="00BC0781">
        <w:rPr>
          <w:rFonts w:ascii="Arial" w:hAnsi="Arial" w:cs="Arial"/>
        </w:rPr>
        <w:t xml:space="preserve"> kontextu sdělení ÚOHS ze dne 23. 8. 2019 </w:t>
      </w:r>
      <w:r w:rsidRPr="00BC0781">
        <w:rPr>
          <w:rFonts w:ascii="Arial" w:hAnsi="Arial" w:cs="Arial"/>
          <w:b/>
        </w:rPr>
        <w:t>navrhujeme opustit koncept obecně závazné vyhlášky o regulaci provozování hazardních her založený na pozitivním výčtu adresních míst, na nichž lze provozovat hazardní hry.</w:t>
      </w:r>
      <w:r w:rsidRPr="00BC0781">
        <w:rPr>
          <w:rFonts w:ascii="Arial" w:hAnsi="Arial" w:cs="Arial"/>
        </w:rPr>
        <w:t xml:space="preserve"> </w:t>
      </w:r>
      <w:r w:rsidRPr="00BC0781">
        <w:rPr>
          <w:rFonts w:ascii="Arial" w:hAnsi="Arial" w:cs="Arial"/>
          <w:b/>
        </w:rPr>
        <w:t>Místo toho navrhujeme obecně závazn</w:t>
      </w:r>
      <w:r w:rsidR="004977F1">
        <w:rPr>
          <w:rFonts w:ascii="Arial" w:hAnsi="Arial" w:cs="Arial"/>
          <w:b/>
        </w:rPr>
        <w:t>ou</w:t>
      </w:r>
      <w:r w:rsidRPr="00BC0781">
        <w:rPr>
          <w:rFonts w:ascii="Arial" w:hAnsi="Arial" w:cs="Arial"/>
          <w:b/>
        </w:rPr>
        <w:t xml:space="preserve"> vyhlášk</w:t>
      </w:r>
      <w:r w:rsidR="004977F1">
        <w:rPr>
          <w:rFonts w:ascii="Arial" w:hAnsi="Arial" w:cs="Arial"/>
          <w:b/>
        </w:rPr>
        <w:t>u</w:t>
      </w:r>
      <w:r w:rsidRPr="00BC0781">
        <w:rPr>
          <w:rFonts w:ascii="Arial" w:hAnsi="Arial" w:cs="Arial"/>
          <w:b/>
        </w:rPr>
        <w:t xml:space="preserve"> stanovící pouze obecná kritéria pro umístění provozovny hazardních her.</w:t>
      </w:r>
      <w:r w:rsidRPr="00BC0781">
        <w:rPr>
          <w:rFonts w:ascii="Arial" w:hAnsi="Arial" w:cs="Arial"/>
        </w:rPr>
        <w:t xml:space="preserve"> </w:t>
      </w:r>
    </w:p>
    <w:p w:rsidR="00BC0781" w:rsidRPr="00BC0781" w:rsidRDefault="00BC0781" w:rsidP="00BC0781">
      <w:pPr>
        <w:pStyle w:val="NormlnIMP"/>
        <w:spacing w:after="120" w:line="240" w:lineRule="auto"/>
        <w:rPr>
          <w:rFonts w:ascii="Arial" w:hAnsi="Arial" w:cs="Arial"/>
        </w:rPr>
      </w:pPr>
    </w:p>
    <w:p w:rsidR="00BC0781" w:rsidRPr="00BC0781" w:rsidRDefault="00BC0781" w:rsidP="00BC0781">
      <w:pPr>
        <w:pStyle w:val="NormlnIMP"/>
        <w:spacing w:after="120" w:line="240" w:lineRule="auto"/>
        <w:rPr>
          <w:rFonts w:ascii="Arial" w:hAnsi="Arial" w:cs="Arial"/>
        </w:rPr>
      </w:pPr>
      <w:r w:rsidRPr="00BC0781">
        <w:rPr>
          <w:rFonts w:ascii="Arial" w:hAnsi="Arial" w:cs="Arial"/>
        </w:rPr>
        <w:t xml:space="preserve">Tento způsob regulace provozování hazardních her byl schválen usnesením Rady města Prostějova č. 9958 ze dne 22. 10. 2019. </w:t>
      </w:r>
    </w:p>
    <w:p w:rsidR="00BC0781" w:rsidRPr="00BC0781" w:rsidRDefault="00BC0781" w:rsidP="00BC0781">
      <w:pPr>
        <w:pStyle w:val="NormlnIMP"/>
        <w:spacing w:after="120"/>
        <w:rPr>
          <w:rFonts w:ascii="Arial" w:hAnsi="Arial" w:cs="Arial"/>
          <w:bCs/>
          <w:iCs/>
        </w:rPr>
      </w:pPr>
    </w:p>
    <w:p w:rsidR="00BC0781" w:rsidRPr="00BC0781" w:rsidRDefault="00BC0781" w:rsidP="00BC0781">
      <w:pPr>
        <w:pStyle w:val="NormlnIMP"/>
        <w:spacing w:after="120"/>
        <w:rPr>
          <w:rFonts w:ascii="Arial" w:hAnsi="Arial" w:cs="Arial"/>
          <w:bCs/>
          <w:iCs/>
        </w:rPr>
      </w:pPr>
      <w:r w:rsidRPr="00BC0781">
        <w:rPr>
          <w:rFonts w:ascii="Arial" w:hAnsi="Arial" w:cs="Arial"/>
          <w:bCs/>
          <w:iCs/>
        </w:rPr>
        <w:t xml:space="preserve">Rozdíl mezi přístupy regulace lze stručně shrnout: </w:t>
      </w:r>
    </w:p>
    <w:p w:rsidR="00BC0781" w:rsidRPr="00BC0781" w:rsidRDefault="00BC0781" w:rsidP="00BC0781">
      <w:pPr>
        <w:pStyle w:val="NormlnIMP"/>
        <w:spacing w:after="120"/>
        <w:rPr>
          <w:rFonts w:ascii="Arial" w:hAnsi="Arial" w:cs="Arial"/>
          <w:bCs/>
          <w:iCs/>
        </w:rPr>
      </w:pPr>
    </w:p>
    <w:p w:rsidR="00BC0781" w:rsidRPr="00BC0781" w:rsidRDefault="00BC0781" w:rsidP="00BC0781">
      <w:pPr>
        <w:pStyle w:val="NormlnIMP"/>
        <w:numPr>
          <w:ilvl w:val="0"/>
          <w:numId w:val="42"/>
        </w:numPr>
        <w:spacing w:after="120"/>
        <w:rPr>
          <w:rFonts w:ascii="Arial" w:hAnsi="Arial" w:cs="Arial"/>
          <w:b/>
          <w:bCs/>
          <w:iCs/>
        </w:rPr>
      </w:pPr>
      <w:r w:rsidRPr="00BC0781">
        <w:rPr>
          <w:rFonts w:ascii="Arial" w:hAnsi="Arial" w:cs="Arial"/>
          <w:b/>
          <w:bCs/>
          <w:iCs/>
        </w:rPr>
        <w:t>Obecně závazná vyhláška s pozitivním výčtem adresních míst = stávající stav</w:t>
      </w:r>
    </w:p>
    <w:p w:rsidR="00BC0781" w:rsidRPr="00BC0781" w:rsidRDefault="00BC0781" w:rsidP="00BC0781">
      <w:pPr>
        <w:pStyle w:val="NormlnIMP"/>
        <w:spacing w:after="120"/>
        <w:rPr>
          <w:rFonts w:ascii="Arial" w:hAnsi="Arial" w:cs="Arial"/>
          <w:b/>
          <w:bCs/>
          <w:iCs/>
        </w:rPr>
      </w:pPr>
    </w:p>
    <w:p w:rsidR="00BC0781" w:rsidRPr="00BC0781" w:rsidRDefault="00BC0781" w:rsidP="00BC0781">
      <w:pPr>
        <w:pStyle w:val="NormlnIMP"/>
        <w:spacing w:after="120"/>
        <w:rPr>
          <w:rFonts w:ascii="Arial" w:hAnsi="Arial" w:cs="Arial"/>
          <w:bCs/>
          <w:iCs/>
        </w:rPr>
      </w:pPr>
      <w:r w:rsidRPr="00BC0781">
        <w:rPr>
          <w:rFonts w:ascii="Arial" w:hAnsi="Arial" w:cs="Arial"/>
          <w:bCs/>
          <w:iCs/>
        </w:rPr>
        <w:t xml:space="preserve">Jak bylo uvedeno, takový způsob regulace je sice možný, nicméně obecně závazná vyhláška (či alespoň důvodová zpráva) by měla rovněž stanovit postup, jak nakládat s novými žádostmi o změnu obecně závazné vyhlášky. Dále musí být stanovena kritéria, na základě kterých byla zvolena adresní místa uvedená v obecně závazné vyhlášce a která musí splňovat i žádosti o změnu obecně závazné vyhlášky, tedy o přidání nového místa. </w:t>
      </w:r>
    </w:p>
    <w:p w:rsidR="00BC0781" w:rsidRPr="00BC0781" w:rsidRDefault="00BC0781" w:rsidP="00BC0781">
      <w:pPr>
        <w:pStyle w:val="NormlnIMP"/>
        <w:spacing w:after="120"/>
        <w:rPr>
          <w:rFonts w:ascii="Arial" w:hAnsi="Arial" w:cs="Arial"/>
          <w:bCs/>
          <w:iCs/>
        </w:rPr>
      </w:pPr>
    </w:p>
    <w:p w:rsidR="00BC0781" w:rsidRPr="00BC0781" w:rsidRDefault="00BC0781" w:rsidP="00BC0781">
      <w:pPr>
        <w:pStyle w:val="NormlnIMP"/>
        <w:spacing w:after="120"/>
        <w:rPr>
          <w:rFonts w:ascii="Arial" w:hAnsi="Arial" w:cs="Arial"/>
          <w:bCs/>
          <w:iCs/>
        </w:rPr>
      </w:pPr>
      <w:r w:rsidRPr="00BC0781">
        <w:rPr>
          <w:rFonts w:ascii="Arial" w:hAnsi="Arial" w:cs="Arial"/>
          <w:bCs/>
          <w:iCs/>
        </w:rPr>
        <w:t xml:space="preserve">Výhody: </w:t>
      </w:r>
    </w:p>
    <w:p w:rsidR="00BC0781" w:rsidRPr="00BC0781" w:rsidRDefault="00BC0781" w:rsidP="00BC0781">
      <w:pPr>
        <w:pStyle w:val="NormlnIMP"/>
        <w:spacing w:after="120"/>
        <w:rPr>
          <w:rFonts w:ascii="Arial" w:hAnsi="Arial" w:cs="Arial"/>
          <w:bCs/>
          <w:iCs/>
        </w:rPr>
      </w:pPr>
      <w:r w:rsidRPr="00BC0781">
        <w:rPr>
          <w:rFonts w:ascii="Arial" w:hAnsi="Arial" w:cs="Arial"/>
          <w:bCs/>
          <w:iCs/>
        </w:rPr>
        <w:t>+ Zastupitelstvo bude mít přehled o všech provozovnách a o všech žádostech o změnu obecně závazné vyhlášky.</w:t>
      </w:r>
    </w:p>
    <w:p w:rsidR="00BC0781" w:rsidRPr="00BC0781" w:rsidRDefault="00BC0781" w:rsidP="00BC0781">
      <w:pPr>
        <w:pStyle w:val="NormlnIMP"/>
        <w:spacing w:after="120"/>
        <w:rPr>
          <w:rFonts w:ascii="Arial" w:hAnsi="Arial" w:cs="Arial"/>
          <w:bCs/>
          <w:iCs/>
        </w:rPr>
      </w:pPr>
    </w:p>
    <w:p w:rsidR="00BC0781" w:rsidRPr="00BC0781" w:rsidRDefault="00BC0781" w:rsidP="00BC0781">
      <w:pPr>
        <w:pStyle w:val="NormlnIMP"/>
        <w:spacing w:after="120"/>
        <w:rPr>
          <w:rFonts w:ascii="Arial" w:hAnsi="Arial" w:cs="Arial"/>
          <w:bCs/>
          <w:iCs/>
        </w:rPr>
      </w:pPr>
      <w:r w:rsidRPr="00BC0781">
        <w:rPr>
          <w:rFonts w:ascii="Arial" w:hAnsi="Arial" w:cs="Arial"/>
          <w:bCs/>
          <w:iCs/>
        </w:rPr>
        <w:t>Nevýhody:</w:t>
      </w:r>
    </w:p>
    <w:p w:rsidR="00BC0781" w:rsidRPr="00BC0781" w:rsidRDefault="00BC0781" w:rsidP="00BC0781">
      <w:pPr>
        <w:pStyle w:val="NormlnIMP"/>
        <w:spacing w:after="120"/>
        <w:rPr>
          <w:rFonts w:ascii="Arial" w:hAnsi="Arial" w:cs="Arial"/>
          <w:bCs/>
          <w:iCs/>
        </w:rPr>
      </w:pPr>
      <w:r w:rsidRPr="00BC0781">
        <w:rPr>
          <w:rFonts w:ascii="Arial" w:hAnsi="Arial" w:cs="Arial"/>
          <w:bCs/>
          <w:iCs/>
        </w:rPr>
        <w:t>- Město bude čelit neustále se opakujícím dotazům ÚOHS, zda byly podány žádosti o přidání nového adresního místa, jak s nimi bylo naloženo, zda jim bylo vyhověno a zdůvodnění.</w:t>
      </w:r>
    </w:p>
    <w:p w:rsidR="00BC0781" w:rsidRPr="00BC0781" w:rsidRDefault="00BC0781" w:rsidP="00BC0781">
      <w:pPr>
        <w:pStyle w:val="NormlnIMP"/>
        <w:spacing w:after="120"/>
        <w:rPr>
          <w:rFonts w:ascii="Arial" w:hAnsi="Arial" w:cs="Arial"/>
          <w:bCs/>
          <w:iCs/>
        </w:rPr>
      </w:pPr>
      <w:r w:rsidRPr="00BC0781">
        <w:rPr>
          <w:rFonts w:ascii="Arial" w:hAnsi="Arial" w:cs="Arial"/>
          <w:bCs/>
          <w:iCs/>
        </w:rPr>
        <w:lastRenderedPageBreak/>
        <w:t xml:space="preserve">- Pokud bude žádost o přidání nového adresního místa splňovat kritéria stanovená obecně závaznou vyhláškou (případně uvedená v důvodové zprávě), bude jí muset zastupitelstvo vyhovět, jinak je vysoká pravděpodobnost udělení sankce ze strany ÚOHS – pokuty se v praxi pohybují od cca 400 – 900 tisíc korun. </w:t>
      </w:r>
    </w:p>
    <w:p w:rsidR="00BC0781" w:rsidRPr="00BC0781" w:rsidRDefault="00BC0781" w:rsidP="00BC0781">
      <w:pPr>
        <w:pStyle w:val="NormlnIMP"/>
        <w:spacing w:after="120"/>
        <w:rPr>
          <w:rFonts w:ascii="Arial" w:hAnsi="Arial" w:cs="Arial"/>
          <w:bCs/>
          <w:iCs/>
        </w:rPr>
      </w:pPr>
      <w:r w:rsidRPr="00BC0781">
        <w:rPr>
          <w:rFonts w:ascii="Arial" w:hAnsi="Arial" w:cs="Arial"/>
          <w:bCs/>
          <w:iCs/>
        </w:rPr>
        <w:t>- Hrozba zpřísnění výkladu ze strany ÚOHS a uložení pokuty.</w:t>
      </w:r>
    </w:p>
    <w:p w:rsidR="00BC0781" w:rsidRPr="00BC0781" w:rsidRDefault="00BC0781" w:rsidP="00BC0781">
      <w:pPr>
        <w:pStyle w:val="NormlnIMP"/>
        <w:spacing w:after="120"/>
        <w:rPr>
          <w:rFonts w:ascii="Arial" w:hAnsi="Arial" w:cs="Arial"/>
          <w:bCs/>
          <w:iCs/>
        </w:rPr>
      </w:pPr>
    </w:p>
    <w:p w:rsidR="00BC0781" w:rsidRPr="00BC0781" w:rsidRDefault="00BC0781" w:rsidP="00BC0781">
      <w:pPr>
        <w:pStyle w:val="NormlnIMP"/>
        <w:numPr>
          <w:ilvl w:val="0"/>
          <w:numId w:val="42"/>
        </w:numPr>
        <w:spacing w:after="120"/>
        <w:rPr>
          <w:rFonts w:ascii="Arial" w:hAnsi="Arial" w:cs="Arial"/>
          <w:b/>
          <w:bCs/>
          <w:iCs/>
        </w:rPr>
      </w:pPr>
      <w:r w:rsidRPr="00BC0781">
        <w:rPr>
          <w:rFonts w:ascii="Arial" w:hAnsi="Arial" w:cs="Arial"/>
          <w:b/>
          <w:bCs/>
          <w:iCs/>
        </w:rPr>
        <w:t>Obecně závazná vyhláška bez adresních míst pouze stanovující kritéria, která musí umístění provozovny hazardních her splňovat = nový navržený stav</w:t>
      </w:r>
    </w:p>
    <w:p w:rsidR="00BC0781" w:rsidRPr="00BC0781" w:rsidRDefault="00BC0781" w:rsidP="00BC0781">
      <w:pPr>
        <w:pStyle w:val="NormlnIMP"/>
        <w:spacing w:after="120"/>
        <w:rPr>
          <w:rFonts w:ascii="Arial" w:hAnsi="Arial" w:cs="Arial"/>
          <w:bCs/>
          <w:iCs/>
        </w:rPr>
      </w:pPr>
    </w:p>
    <w:p w:rsidR="00BC0781" w:rsidRPr="00BC0781" w:rsidRDefault="00BC0781" w:rsidP="00BC0781">
      <w:pPr>
        <w:pStyle w:val="NormlnIMP"/>
        <w:spacing w:after="120"/>
        <w:rPr>
          <w:rFonts w:ascii="Arial" w:hAnsi="Arial" w:cs="Arial"/>
          <w:bCs/>
          <w:iCs/>
        </w:rPr>
      </w:pPr>
      <w:r w:rsidRPr="00BC0781">
        <w:rPr>
          <w:rFonts w:ascii="Arial" w:hAnsi="Arial" w:cs="Arial"/>
          <w:bCs/>
          <w:iCs/>
        </w:rPr>
        <w:t xml:space="preserve">Výhody: </w:t>
      </w:r>
    </w:p>
    <w:p w:rsidR="00BC0781" w:rsidRPr="00BC0781" w:rsidRDefault="00BC0781" w:rsidP="00BC0781">
      <w:pPr>
        <w:pStyle w:val="NormlnIMP"/>
        <w:spacing w:after="120"/>
        <w:rPr>
          <w:rFonts w:ascii="Arial" w:hAnsi="Arial" w:cs="Arial"/>
          <w:bCs/>
          <w:iCs/>
        </w:rPr>
      </w:pPr>
      <w:r w:rsidRPr="00BC0781">
        <w:rPr>
          <w:rFonts w:ascii="Arial" w:hAnsi="Arial" w:cs="Arial"/>
          <w:bCs/>
          <w:iCs/>
        </w:rPr>
        <w:t>+ ÚOHS takto koncipované obecně závazné vyhlášky považuje za nediskriminační a v souladu se zákonem.</w:t>
      </w:r>
    </w:p>
    <w:p w:rsidR="00BC0781" w:rsidRPr="00BC0781" w:rsidRDefault="00BC0781" w:rsidP="00BC0781">
      <w:pPr>
        <w:pStyle w:val="NormlnIMP"/>
        <w:spacing w:after="120"/>
        <w:rPr>
          <w:rFonts w:ascii="Arial" w:hAnsi="Arial" w:cs="Arial"/>
          <w:bCs/>
          <w:iCs/>
        </w:rPr>
      </w:pPr>
      <w:r w:rsidRPr="00BC0781">
        <w:rPr>
          <w:rFonts w:ascii="Arial" w:hAnsi="Arial" w:cs="Arial"/>
          <w:bCs/>
          <w:iCs/>
        </w:rPr>
        <w:t>+ O žádostech nových provozovatelů o umístění herního prostoru nebude muset rozhodovat Zastupitelstvo, ale pouze finanční odbor MMPV v rámci správního řízení o žádosti o umístění herního prostoru – odpadne tak opakované projednávání na zasedání Zastupitelstva.</w:t>
      </w:r>
    </w:p>
    <w:p w:rsidR="00BC0781" w:rsidRPr="00BC0781" w:rsidRDefault="00BC0781" w:rsidP="00BC0781">
      <w:pPr>
        <w:pStyle w:val="NormlnIMP"/>
        <w:spacing w:after="120"/>
        <w:rPr>
          <w:rFonts w:ascii="Arial" w:hAnsi="Arial" w:cs="Arial"/>
          <w:bCs/>
          <w:iCs/>
        </w:rPr>
      </w:pPr>
    </w:p>
    <w:p w:rsidR="00BC0781" w:rsidRPr="00BC0781" w:rsidRDefault="00BC0781" w:rsidP="00BC0781">
      <w:pPr>
        <w:pStyle w:val="NormlnIMP"/>
        <w:spacing w:after="120"/>
        <w:rPr>
          <w:rFonts w:ascii="Arial" w:hAnsi="Arial" w:cs="Arial"/>
          <w:bCs/>
          <w:iCs/>
        </w:rPr>
      </w:pPr>
      <w:r w:rsidRPr="00BC0781">
        <w:rPr>
          <w:rFonts w:ascii="Arial" w:hAnsi="Arial" w:cs="Arial"/>
          <w:bCs/>
          <w:iCs/>
        </w:rPr>
        <w:t xml:space="preserve">Nevýhody: </w:t>
      </w:r>
    </w:p>
    <w:p w:rsidR="00BC0781" w:rsidRPr="00BC0781" w:rsidRDefault="00BC0781" w:rsidP="00BC0781">
      <w:pPr>
        <w:pStyle w:val="NormlnIMP"/>
        <w:spacing w:after="120"/>
        <w:rPr>
          <w:rFonts w:ascii="Arial" w:hAnsi="Arial" w:cs="Arial"/>
          <w:bCs/>
          <w:iCs/>
        </w:rPr>
      </w:pPr>
      <w:r w:rsidRPr="00BC0781">
        <w:rPr>
          <w:rFonts w:ascii="Arial" w:hAnsi="Arial" w:cs="Arial"/>
          <w:bCs/>
          <w:iCs/>
        </w:rPr>
        <w:t>-</w:t>
      </w:r>
      <w:r w:rsidRPr="00BC0781">
        <w:rPr>
          <w:rFonts w:ascii="Arial" w:hAnsi="Arial" w:cs="Arial"/>
          <w:bCs/>
          <w:iCs/>
        </w:rPr>
        <w:tab/>
        <w:t xml:space="preserve">Zastupitelstvo nebude rozhodovat o konkrétních adresních místech, na kterých lze provozovat hazardní hry. </w:t>
      </w:r>
    </w:p>
    <w:p w:rsidR="00BC0781" w:rsidRDefault="00BC0781" w:rsidP="00BC0781">
      <w:pPr>
        <w:pStyle w:val="NormlnIMP"/>
        <w:spacing w:after="120"/>
        <w:rPr>
          <w:rFonts w:ascii="Arial" w:hAnsi="Arial" w:cs="Arial"/>
          <w:bCs/>
          <w:iCs/>
        </w:rPr>
      </w:pPr>
    </w:p>
    <w:p w:rsidR="00BC0781" w:rsidRPr="00BC0781" w:rsidRDefault="00BC0781" w:rsidP="00BC0781">
      <w:pPr>
        <w:pStyle w:val="NormlnIMP"/>
        <w:spacing w:after="120"/>
        <w:rPr>
          <w:rFonts w:ascii="Arial" w:hAnsi="Arial" w:cs="Arial"/>
          <w:b/>
          <w:bCs/>
          <w:iCs/>
        </w:rPr>
      </w:pPr>
      <w:r w:rsidRPr="00BC0781">
        <w:rPr>
          <w:rFonts w:ascii="Arial" w:hAnsi="Arial" w:cs="Arial"/>
          <w:bCs/>
          <w:iCs/>
        </w:rPr>
        <w:t xml:space="preserve">Ať již by bylo přistoupeno k regulaci jakýmkoliv ze dvou výše uvedených způsobů, reálný dopad obecně závazné vyhlášky na počet provozoven bude stejný. Pokud by byla podána žádost některého z nových potencionálních provozovatelů a jeho žádost by splňovala kritéria pro umístění provozovny stanové obecně závaznou vyhláškou, muselo by ji být vyhověno, lhostejno zda změnou obecně závazné vyhlášky Zastupitelstvem, nebo správním rozhodnutím magistrátu. </w:t>
      </w:r>
      <w:r w:rsidRPr="00BC0781">
        <w:rPr>
          <w:rFonts w:ascii="Arial" w:hAnsi="Arial" w:cs="Arial"/>
          <w:b/>
          <w:bCs/>
          <w:iCs/>
        </w:rPr>
        <w:t>Stejná objektivní, nediskriminační, určitá a přezkoumatelná kritéria umožňující vstup nových provozovatelů hazardních her musí být stanovena v obou případech.</w:t>
      </w:r>
    </w:p>
    <w:p w:rsidR="00BC0781" w:rsidRPr="00BC0781" w:rsidRDefault="00BC0781" w:rsidP="00BC0781">
      <w:pPr>
        <w:pStyle w:val="NormlnIMP"/>
        <w:spacing w:after="120"/>
        <w:rPr>
          <w:rFonts w:ascii="Arial" w:hAnsi="Arial" w:cs="Arial"/>
          <w:b/>
          <w:bCs/>
          <w:iCs/>
        </w:rPr>
      </w:pPr>
    </w:p>
    <w:p w:rsidR="00BC0781" w:rsidRPr="00BC0781" w:rsidRDefault="00BC0781" w:rsidP="00BC0781">
      <w:pPr>
        <w:pStyle w:val="NormlnIMP"/>
        <w:spacing w:after="120"/>
        <w:rPr>
          <w:rFonts w:ascii="Arial" w:hAnsi="Arial" w:cs="Arial"/>
          <w:bCs/>
          <w:iCs/>
        </w:rPr>
      </w:pPr>
      <w:r w:rsidRPr="00BC0781">
        <w:rPr>
          <w:rFonts w:ascii="Arial" w:hAnsi="Arial" w:cs="Arial"/>
          <w:bCs/>
          <w:iCs/>
        </w:rPr>
        <w:t xml:space="preserve">Navrhujeme tedy v obecně závazné vyhlášce pouze stanovit obecná kritéria pro umístění herního prostoru. </w:t>
      </w:r>
    </w:p>
    <w:p w:rsidR="00BC0781" w:rsidRPr="00BC0781" w:rsidRDefault="00BC0781" w:rsidP="00BC0781">
      <w:pPr>
        <w:pStyle w:val="NormlnIMP"/>
        <w:spacing w:after="120"/>
        <w:rPr>
          <w:rFonts w:ascii="Arial" w:hAnsi="Arial" w:cs="Arial"/>
          <w:bCs/>
          <w:iCs/>
        </w:rPr>
      </w:pPr>
    </w:p>
    <w:p w:rsidR="00BC0781" w:rsidRPr="00BC0781" w:rsidRDefault="00BC0781" w:rsidP="00BC0781">
      <w:pPr>
        <w:pStyle w:val="NormlnIMP"/>
        <w:spacing w:after="120"/>
        <w:rPr>
          <w:rFonts w:ascii="Arial" w:hAnsi="Arial" w:cs="Arial"/>
          <w:bCs/>
          <w:iCs/>
        </w:rPr>
      </w:pPr>
      <w:r w:rsidRPr="00BC0781">
        <w:rPr>
          <w:rFonts w:ascii="Arial" w:hAnsi="Arial" w:cs="Arial"/>
          <w:bCs/>
          <w:iCs/>
        </w:rPr>
        <w:t xml:space="preserve">Navržená kritéria pro výběr adresních míst </w:t>
      </w:r>
      <w:r w:rsidRPr="00BC0781">
        <w:rPr>
          <w:rFonts w:ascii="Arial" w:hAnsi="Arial" w:cs="Arial"/>
          <w:b/>
          <w:bCs/>
          <w:iCs/>
        </w:rPr>
        <w:t xml:space="preserve">vycházejí </w:t>
      </w:r>
      <w:r w:rsidRPr="00BC0781">
        <w:rPr>
          <w:rFonts w:ascii="Arial" w:hAnsi="Arial" w:cs="Arial"/>
          <w:bCs/>
          <w:iCs/>
        </w:rPr>
        <w:t xml:space="preserve">z větší části z kritérií aplikovaných již při výběru adresních míst uvedených v OZV č. 6/2017. </w:t>
      </w:r>
    </w:p>
    <w:p w:rsidR="00BC0781" w:rsidRPr="00BC0781" w:rsidRDefault="00BC0781" w:rsidP="00BC0781">
      <w:pPr>
        <w:pStyle w:val="NormlnIMP"/>
        <w:spacing w:after="120"/>
        <w:rPr>
          <w:rFonts w:ascii="Arial" w:hAnsi="Arial" w:cs="Arial"/>
          <w:bCs/>
          <w:iCs/>
        </w:rPr>
      </w:pPr>
    </w:p>
    <w:p w:rsidR="00BC0781" w:rsidRPr="00BC0781" w:rsidRDefault="00BC0781" w:rsidP="00BC0781">
      <w:pPr>
        <w:pStyle w:val="NormlnIMP"/>
        <w:spacing w:after="120"/>
        <w:rPr>
          <w:rFonts w:ascii="Arial" w:hAnsi="Arial" w:cs="Arial"/>
          <w:b/>
          <w:bCs/>
          <w:iCs/>
        </w:rPr>
      </w:pPr>
      <w:r w:rsidRPr="00BC0781">
        <w:rPr>
          <w:rFonts w:ascii="Arial" w:hAnsi="Arial" w:cs="Arial"/>
          <w:bCs/>
          <w:iCs/>
        </w:rPr>
        <w:t xml:space="preserve">Dle návrhu obecně závazné vyhlášky </w:t>
      </w:r>
      <w:r w:rsidRPr="00BC0781">
        <w:rPr>
          <w:rFonts w:ascii="Arial" w:hAnsi="Arial" w:cs="Arial"/>
          <w:b/>
          <w:bCs/>
          <w:iCs/>
        </w:rPr>
        <w:t>hazardní hry nelze na území města provozovat v herních prostorech:</w:t>
      </w:r>
    </w:p>
    <w:p w:rsidR="00BC0781" w:rsidRPr="00BC0781" w:rsidRDefault="00BC0781" w:rsidP="00BC0781">
      <w:pPr>
        <w:pStyle w:val="NormlnIMP"/>
        <w:spacing w:after="120"/>
        <w:rPr>
          <w:rFonts w:ascii="Arial" w:hAnsi="Arial" w:cs="Arial"/>
          <w:bCs/>
          <w:iCs/>
        </w:rPr>
      </w:pPr>
    </w:p>
    <w:p w:rsidR="00BC0781" w:rsidRPr="00BC0781" w:rsidRDefault="00BC0781" w:rsidP="00BC0781">
      <w:pPr>
        <w:pStyle w:val="NormlnIMP"/>
        <w:numPr>
          <w:ilvl w:val="0"/>
          <w:numId w:val="29"/>
        </w:numPr>
        <w:spacing w:after="120"/>
        <w:rPr>
          <w:rFonts w:ascii="Arial" w:hAnsi="Arial" w:cs="Arial"/>
          <w:b/>
        </w:rPr>
      </w:pPr>
      <w:r w:rsidRPr="00BC0781">
        <w:rPr>
          <w:rFonts w:ascii="Arial" w:hAnsi="Arial" w:cs="Arial"/>
          <w:b/>
        </w:rPr>
        <w:t>jejichž vchod se nachází v okruhu do 50 metrů od budovy mateřské, základní nebo střední školy. Výchozím bodem pro vymezení daného okruhu se rozumějí vnější hrany budov školy. Pro určení vzdálenosti je rozhodující vzdušná vzdálenost od vnější hrany budov školy ke vchodu do herního prostoru</w:t>
      </w:r>
    </w:p>
    <w:p w:rsidR="00BC0781" w:rsidRPr="00BC0781" w:rsidRDefault="00BC0781" w:rsidP="00BC0781">
      <w:pPr>
        <w:pStyle w:val="NormlnIMP"/>
        <w:spacing w:after="120"/>
        <w:rPr>
          <w:rFonts w:ascii="Arial" w:hAnsi="Arial" w:cs="Arial"/>
        </w:rPr>
      </w:pPr>
    </w:p>
    <w:p w:rsidR="00BC0781" w:rsidRPr="00BC0781" w:rsidRDefault="00BC0781" w:rsidP="00BC0781">
      <w:pPr>
        <w:pStyle w:val="NormlnIMP"/>
        <w:spacing w:after="120"/>
        <w:rPr>
          <w:rFonts w:ascii="Arial" w:hAnsi="Arial" w:cs="Arial"/>
        </w:rPr>
      </w:pPr>
      <w:r w:rsidRPr="00BC0781">
        <w:rPr>
          <w:rFonts w:ascii="Arial" w:hAnsi="Arial" w:cs="Arial"/>
        </w:rPr>
        <w:t xml:space="preserve">Odůvodnění kritéria: Nutná vzdálenost od škol již byla kritériem pro vybraná adresní místa jak v OZV č. 6/2017, tak v předcházející obecně závazné vyhlášce č. 2/2012. Tyto vyhlášky shodně stanovily, že provozovna hazardních her (loterií) nesmí být v bezprostřední blízkosti škol a školských zařízení. Zákon o hazardu ve svém § 13 odst. 1 stanoví, že hazardní hry nesmí být provozovány, mimo jiné ve škole a školském zařízení a zařízení pro volnočasové aktivity dětí. Jedná se tedy o rozšíření této zákonné regulace. Rovněž byla v souladu s požadavky ÚOHS na maximální určitost kritérií upřesněna vzdálenost tak, aby kritérium bylo co nejvíce určité. Vzdálenost byla určena od budov mateřských, základních a středních škol, jelikož žáci těchto škol mohou být nejvíce vystaveni negativním vlivům blízkosti provozoven hazardních her. Kritérium se nevztahuje na zařízení pro volnočasové aktivity dětí, neboť lze obtížně definovat takové zařízení a tato zařízení mohou vznikat spontánně, což prakticky znemožňuje kontrolu takového kritéria. </w:t>
      </w:r>
    </w:p>
    <w:p w:rsidR="00BC0781" w:rsidRPr="00BC0781" w:rsidRDefault="00BC0781" w:rsidP="00BC0781">
      <w:pPr>
        <w:pStyle w:val="NormlnIMP"/>
        <w:spacing w:after="120"/>
        <w:rPr>
          <w:rFonts w:ascii="Arial" w:hAnsi="Arial" w:cs="Arial"/>
        </w:rPr>
      </w:pPr>
    </w:p>
    <w:p w:rsidR="00BC0781" w:rsidRPr="00BC0781" w:rsidRDefault="00BC0781" w:rsidP="00BC0781">
      <w:pPr>
        <w:pStyle w:val="NormlnIMP"/>
        <w:numPr>
          <w:ilvl w:val="0"/>
          <w:numId w:val="29"/>
        </w:numPr>
        <w:spacing w:after="120"/>
        <w:rPr>
          <w:rFonts w:ascii="Arial" w:hAnsi="Arial" w:cs="Arial"/>
          <w:b/>
          <w:iCs/>
        </w:rPr>
      </w:pPr>
      <w:r w:rsidRPr="00BC0781">
        <w:rPr>
          <w:rFonts w:ascii="Arial" w:hAnsi="Arial" w:cs="Arial"/>
          <w:b/>
          <w:iCs/>
        </w:rPr>
        <w:t>jejichž vchod se nachází v okruhu do 50 metrů od vchodu do jiného herního prostoru, ve kterém se provozují hazardní hry. Pro určení vzdálenosti je rozhodující vzdušná vzdálenost od vchodu do herního prostoru ke vchodu do jiného herního prostoru, ve kterém se provozují hazardní hry</w:t>
      </w:r>
    </w:p>
    <w:p w:rsidR="00BC0781" w:rsidRPr="00BC0781" w:rsidRDefault="00BC0781" w:rsidP="00BC0781">
      <w:pPr>
        <w:pStyle w:val="NormlnIMP"/>
        <w:spacing w:after="120"/>
        <w:rPr>
          <w:rFonts w:ascii="Arial" w:hAnsi="Arial" w:cs="Arial"/>
          <w:b/>
          <w:iCs/>
        </w:rPr>
      </w:pPr>
    </w:p>
    <w:p w:rsidR="00BC0781" w:rsidRPr="00BC0781" w:rsidRDefault="00BC0781" w:rsidP="00BC0781">
      <w:pPr>
        <w:pStyle w:val="NormlnIMP"/>
        <w:spacing w:after="120"/>
        <w:rPr>
          <w:rFonts w:ascii="Arial" w:hAnsi="Arial" w:cs="Arial"/>
          <w:b/>
        </w:rPr>
      </w:pPr>
      <w:r w:rsidRPr="00BC0781">
        <w:rPr>
          <w:rFonts w:ascii="Arial" w:hAnsi="Arial" w:cs="Arial"/>
        </w:rPr>
        <w:t xml:space="preserve">Odůvodnění kritéria: Kritérium navazuje na kritérium uvedené v důvodové zprávě pro přijetí OZV č. 6/2017, tedy, aby provozovny hazardních her nebyly umístěny v jedné části města. Rovněž byla v souladu s požadavky ÚOHS na maximální určitost kritérií upřesněna vzdálenost tak, aby kritérium bylo co nejvíce určité. </w:t>
      </w:r>
    </w:p>
    <w:p w:rsidR="00BC0781" w:rsidRPr="00BC0781" w:rsidRDefault="00BC0781" w:rsidP="00BC0781">
      <w:pPr>
        <w:pStyle w:val="NormlnIMP"/>
        <w:spacing w:after="120"/>
        <w:rPr>
          <w:rFonts w:ascii="Arial" w:hAnsi="Arial" w:cs="Arial"/>
        </w:rPr>
      </w:pPr>
      <w:r w:rsidRPr="00BC0781">
        <w:rPr>
          <w:rFonts w:ascii="Arial" w:hAnsi="Arial" w:cs="Arial"/>
        </w:rPr>
        <w:tab/>
      </w:r>
    </w:p>
    <w:p w:rsidR="00BC0781" w:rsidRPr="00BC0781" w:rsidRDefault="00BC0781" w:rsidP="00BC0781">
      <w:pPr>
        <w:pStyle w:val="NormlnIMP"/>
        <w:numPr>
          <w:ilvl w:val="0"/>
          <w:numId w:val="29"/>
        </w:numPr>
        <w:spacing w:after="120"/>
        <w:rPr>
          <w:rFonts w:ascii="Arial" w:hAnsi="Arial" w:cs="Arial"/>
          <w:b/>
        </w:rPr>
      </w:pPr>
      <w:r w:rsidRPr="00BC0781">
        <w:rPr>
          <w:rFonts w:ascii="Arial" w:hAnsi="Arial" w:cs="Arial"/>
          <w:b/>
        </w:rPr>
        <w:t>umístěných na nám. T.G. Masaryka</w:t>
      </w:r>
    </w:p>
    <w:p w:rsidR="00BC0781" w:rsidRPr="00BC0781" w:rsidRDefault="00BC0781" w:rsidP="00BC0781">
      <w:pPr>
        <w:pStyle w:val="NormlnIMP"/>
        <w:spacing w:after="120"/>
        <w:rPr>
          <w:rFonts w:ascii="Arial" w:hAnsi="Arial" w:cs="Arial"/>
          <w:b/>
        </w:rPr>
      </w:pPr>
    </w:p>
    <w:p w:rsidR="00BC0781" w:rsidRPr="00BC0781" w:rsidRDefault="00BC0781" w:rsidP="00BC0781">
      <w:pPr>
        <w:pStyle w:val="NormlnIMP"/>
        <w:spacing w:after="120"/>
        <w:rPr>
          <w:rFonts w:ascii="Arial" w:hAnsi="Arial" w:cs="Arial"/>
        </w:rPr>
      </w:pPr>
      <w:r w:rsidRPr="00BC0781">
        <w:rPr>
          <w:rFonts w:ascii="Arial" w:hAnsi="Arial" w:cs="Arial"/>
        </w:rPr>
        <w:t xml:space="preserve">Odůvodnění kritéria: Shodné kritérium je uvedené v důvodové zprávě pro přijetí OZV č. 6/2017. Toto kritérium vychází z charakteru nám. T. G. Masaryka, jakožto hlavního náměstí s dominantami města. </w:t>
      </w:r>
    </w:p>
    <w:p w:rsidR="00BC0781" w:rsidRPr="00BC0781" w:rsidRDefault="00BC0781" w:rsidP="00BC0781">
      <w:pPr>
        <w:pStyle w:val="NormlnIMP"/>
        <w:spacing w:after="120"/>
        <w:rPr>
          <w:rFonts w:ascii="Arial" w:hAnsi="Arial" w:cs="Arial"/>
          <w:b/>
        </w:rPr>
      </w:pPr>
    </w:p>
    <w:p w:rsidR="00BC0781" w:rsidRPr="00BC0781" w:rsidRDefault="00BC0781" w:rsidP="00BC0781">
      <w:pPr>
        <w:pStyle w:val="NormlnIMP"/>
        <w:numPr>
          <w:ilvl w:val="0"/>
          <w:numId w:val="29"/>
        </w:numPr>
        <w:spacing w:after="120"/>
        <w:rPr>
          <w:rFonts w:ascii="Arial" w:hAnsi="Arial" w:cs="Arial"/>
          <w:b/>
        </w:rPr>
      </w:pPr>
      <w:r w:rsidRPr="00BC0781">
        <w:rPr>
          <w:rFonts w:ascii="Arial" w:hAnsi="Arial" w:cs="Arial"/>
          <w:b/>
        </w:rPr>
        <w:t>umístěných v budovách autobusových a vlakových nádraží</w:t>
      </w:r>
    </w:p>
    <w:p w:rsidR="00BC0781" w:rsidRPr="00BC0781" w:rsidRDefault="00BC0781" w:rsidP="00BC0781">
      <w:pPr>
        <w:pStyle w:val="NormlnIMP"/>
        <w:spacing w:after="120"/>
        <w:rPr>
          <w:rFonts w:ascii="Arial" w:hAnsi="Arial" w:cs="Arial"/>
          <w:b/>
        </w:rPr>
      </w:pPr>
    </w:p>
    <w:p w:rsidR="00BC0781" w:rsidRPr="00BC0781" w:rsidRDefault="00BC0781" w:rsidP="00BC0781">
      <w:pPr>
        <w:pStyle w:val="NormlnIMP"/>
        <w:spacing w:after="120"/>
        <w:rPr>
          <w:rFonts w:ascii="Arial" w:hAnsi="Arial" w:cs="Arial"/>
        </w:rPr>
      </w:pPr>
      <w:r w:rsidRPr="00BC0781">
        <w:rPr>
          <w:rFonts w:ascii="Arial" w:hAnsi="Arial" w:cs="Arial"/>
        </w:rPr>
        <w:t xml:space="preserve">Odůvodnění kritéria: Jde o kritérium nové. Vychází z předpokladu vysoké koncentrace studentů v těchto budovách při cestách za studiem, a tedy nežádoucí blízkosti umístění herního prostoru. </w:t>
      </w:r>
    </w:p>
    <w:p w:rsidR="00BC0781" w:rsidRPr="00BC0781" w:rsidRDefault="00BC0781" w:rsidP="00BC0781">
      <w:pPr>
        <w:pStyle w:val="NormlnIMP"/>
        <w:spacing w:after="120"/>
        <w:rPr>
          <w:rFonts w:ascii="Arial" w:hAnsi="Arial" w:cs="Arial"/>
          <w:b/>
        </w:rPr>
      </w:pPr>
    </w:p>
    <w:p w:rsidR="00BC0781" w:rsidRPr="00BC0781" w:rsidRDefault="00BC0781" w:rsidP="00BC0781">
      <w:pPr>
        <w:pStyle w:val="NormlnIMP"/>
        <w:numPr>
          <w:ilvl w:val="0"/>
          <w:numId w:val="29"/>
        </w:numPr>
        <w:spacing w:after="120"/>
        <w:rPr>
          <w:rFonts w:ascii="Arial" w:hAnsi="Arial" w:cs="Arial"/>
          <w:b/>
        </w:rPr>
      </w:pPr>
      <w:r w:rsidRPr="00BC0781">
        <w:rPr>
          <w:rFonts w:ascii="Arial" w:hAnsi="Arial" w:cs="Arial"/>
          <w:b/>
        </w:rPr>
        <w:t xml:space="preserve">umístěných na území města v katastrálním území Čechovice, Čechovice – Záhoří, Čechůvky, Domamyslice, Vrahovice a Žešov. </w:t>
      </w:r>
    </w:p>
    <w:p w:rsidR="00BC0781" w:rsidRPr="00BC0781" w:rsidRDefault="00BC0781" w:rsidP="00BC0781">
      <w:pPr>
        <w:pStyle w:val="NormlnIMP"/>
        <w:spacing w:after="120"/>
        <w:rPr>
          <w:rFonts w:ascii="Arial" w:hAnsi="Arial" w:cs="Arial"/>
          <w:b/>
        </w:rPr>
      </w:pPr>
    </w:p>
    <w:p w:rsidR="00BC0781" w:rsidRDefault="00BC0781" w:rsidP="00BC0781">
      <w:pPr>
        <w:pStyle w:val="NormlnIMP"/>
        <w:spacing w:after="120"/>
        <w:rPr>
          <w:rFonts w:ascii="Arial" w:hAnsi="Arial" w:cs="Arial"/>
        </w:rPr>
      </w:pPr>
      <w:r w:rsidRPr="00BC0781">
        <w:rPr>
          <w:rFonts w:ascii="Arial" w:hAnsi="Arial" w:cs="Arial"/>
        </w:rPr>
        <w:t xml:space="preserve">Odůvodnění kritéria: Kritérium je upřesněním stávajícího kritéria, dle kterého by se herní prostory neměly nacházet v „klidných rezidenčních lokalitách“. Bylo zvažováno několik variant, jak definovat rezidenční lokality. Nakonec byla zvolena jejich definice prostřednictvím katastrálních území. Jde o okrajové čtvrti města s převažující zástavbou </w:t>
      </w:r>
      <w:r w:rsidRPr="00BC0781">
        <w:rPr>
          <w:rFonts w:ascii="Arial" w:hAnsi="Arial" w:cs="Arial"/>
        </w:rPr>
        <w:lastRenderedPageBreak/>
        <w:t>v podobě rodinných či bytových domů. Ani v jednom z těchto katastrálních území se v současnosti nenachází herní prostor.</w:t>
      </w:r>
    </w:p>
    <w:p w:rsidR="004B6ABA" w:rsidRDefault="004B6ABA" w:rsidP="00BC0781">
      <w:pPr>
        <w:pStyle w:val="NormlnIMP"/>
        <w:spacing w:after="120"/>
        <w:rPr>
          <w:rFonts w:ascii="Arial" w:hAnsi="Arial" w:cs="Arial"/>
        </w:rPr>
      </w:pPr>
    </w:p>
    <w:p w:rsidR="004B6ABA" w:rsidRDefault="004B6ABA" w:rsidP="00BC0781">
      <w:pPr>
        <w:pStyle w:val="NormlnIMP"/>
        <w:spacing w:after="120"/>
        <w:rPr>
          <w:rFonts w:ascii="Arial" w:hAnsi="Arial" w:cs="Arial"/>
        </w:rPr>
      </w:pPr>
    </w:p>
    <w:p w:rsidR="004B6ABA" w:rsidRDefault="004B6ABA" w:rsidP="00BC0781">
      <w:pPr>
        <w:pStyle w:val="NormlnIMP"/>
        <w:spacing w:after="120"/>
        <w:rPr>
          <w:rFonts w:ascii="Arial" w:hAnsi="Arial" w:cs="Arial"/>
        </w:rPr>
      </w:pPr>
    </w:p>
    <w:p w:rsidR="004B6ABA" w:rsidRPr="00BC0781" w:rsidRDefault="004B6ABA" w:rsidP="00BC0781">
      <w:pPr>
        <w:pStyle w:val="NormlnIMP"/>
        <w:spacing w:after="120"/>
        <w:rPr>
          <w:rFonts w:ascii="Arial" w:hAnsi="Arial" w:cs="Arial"/>
        </w:rPr>
      </w:pPr>
    </w:p>
    <w:p w:rsidR="00BC0781" w:rsidRPr="00BC0781" w:rsidRDefault="00BC0781" w:rsidP="00BC0781">
      <w:pPr>
        <w:pStyle w:val="NormlnIMP"/>
        <w:spacing w:after="120" w:line="240" w:lineRule="auto"/>
        <w:rPr>
          <w:rFonts w:ascii="Arial" w:hAnsi="Arial" w:cs="Arial"/>
          <w:iCs/>
        </w:rPr>
      </w:pPr>
      <w:r w:rsidRPr="00BC0781">
        <w:rPr>
          <w:rFonts w:ascii="Arial" w:hAnsi="Arial" w:cs="Arial"/>
          <w:iCs/>
        </w:rPr>
        <w:t>Stávající kritérium, dle kterého by se herní prostory neměly nacházet v místech s „</w:t>
      </w:r>
      <w:r w:rsidRPr="00BC0781">
        <w:rPr>
          <w:rFonts w:ascii="Arial" w:hAnsi="Arial" w:cs="Arial"/>
          <w:i/>
          <w:iCs/>
        </w:rPr>
        <w:t>vysokou mírou kriminality, sociálně vyloučených oblastech a v oblastech, v nichž byly v minulosti časté stížnosti na problémy způsobené provozováním hazardních her</w:t>
      </w:r>
      <w:r w:rsidRPr="00BC0781">
        <w:rPr>
          <w:rFonts w:ascii="Arial" w:hAnsi="Arial" w:cs="Arial"/>
          <w:iCs/>
        </w:rPr>
        <w:t xml:space="preserve">“ nebylo do návrhu převzato, neboť v souladu s požadavkem ÚOHS nelze zcela přesně definovat míru kriminality, četnost stížností na provoz, atd. </w:t>
      </w:r>
    </w:p>
    <w:p w:rsidR="00BC0781" w:rsidRPr="00BC0781" w:rsidRDefault="00BC0781" w:rsidP="00BC0781">
      <w:pPr>
        <w:pStyle w:val="NormlnIMP"/>
        <w:spacing w:after="120"/>
        <w:rPr>
          <w:rFonts w:ascii="Arial" w:hAnsi="Arial" w:cs="Arial"/>
          <w:bCs/>
          <w:iCs/>
        </w:rPr>
      </w:pPr>
    </w:p>
    <w:p w:rsidR="00BC0781" w:rsidRPr="00BC0781" w:rsidRDefault="00BC0781" w:rsidP="00BC0781">
      <w:pPr>
        <w:pStyle w:val="NormlnIMP"/>
        <w:numPr>
          <w:ilvl w:val="0"/>
          <w:numId w:val="40"/>
        </w:numPr>
        <w:spacing w:after="120"/>
        <w:rPr>
          <w:rFonts w:ascii="Arial" w:hAnsi="Arial" w:cs="Arial"/>
          <w:b/>
          <w:bCs/>
          <w:iCs/>
        </w:rPr>
      </w:pPr>
      <w:r w:rsidRPr="00BC0781">
        <w:rPr>
          <w:rFonts w:ascii="Arial" w:hAnsi="Arial" w:cs="Arial"/>
          <w:b/>
          <w:bCs/>
          <w:iCs/>
        </w:rPr>
        <w:t>návrh regulace času provozování hazardních her</w:t>
      </w:r>
    </w:p>
    <w:p w:rsidR="00BC0781" w:rsidRPr="00BC0781" w:rsidRDefault="00BC0781" w:rsidP="00BC0781">
      <w:pPr>
        <w:pStyle w:val="NormlnIMP"/>
        <w:spacing w:after="120"/>
        <w:rPr>
          <w:rFonts w:ascii="Arial" w:hAnsi="Arial" w:cs="Arial"/>
          <w:bCs/>
          <w:iCs/>
        </w:rPr>
      </w:pPr>
      <w:r w:rsidRPr="00BC0781">
        <w:rPr>
          <w:rFonts w:ascii="Arial" w:hAnsi="Arial" w:cs="Arial"/>
          <w:bCs/>
          <w:iCs/>
        </w:rPr>
        <w:t xml:space="preserve">V souladu s ust. § 67 odst. 3 zákona o hazardu nesmí být herna v provozu od 3:00 do 10:00 hodin. </w:t>
      </w:r>
      <w:r w:rsidRPr="00BC0781">
        <w:rPr>
          <w:rFonts w:ascii="Arial" w:hAnsi="Arial" w:cs="Arial"/>
          <w:b/>
          <w:bCs/>
          <w:iCs/>
        </w:rPr>
        <w:t>Pro kasino omezení provozní doby není stanoveno</w:t>
      </w:r>
      <w:r w:rsidRPr="00BC0781">
        <w:rPr>
          <w:rFonts w:ascii="Arial" w:hAnsi="Arial" w:cs="Arial"/>
          <w:bCs/>
          <w:iCs/>
        </w:rPr>
        <w:t xml:space="preserve">. Obecně závaznou vyhláškou lze časové období rozšířit (nikoliv zúžit), avšak musí jít o regulaci přiměřenou místním podmínkám. Zákonem stanovené omezení provozní doby v současné době rozšířit nenavrhujeme.  </w:t>
      </w:r>
    </w:p>
    <w:p w:rsidR="00BC0781" w:rsidRDefault="00BC0781" w:rsidP="00BC0781">
      <w:pPr>
        <w:pStyle w:val="NormlnIMP"/>
        <w:spacing w:after="120"/>
        <w:rPr>
          <w:rFonts w:ascii="Arial" w:hAnsi="Arial" w:cs="Arial"/>
          <w:bCs/>
          <w:iCs/>
        </w:rPr>
      </w:pPr>
    </w:p>
    <w:p w:rsidR="00BC0781" w:rsidRDefault="00BC0781" w:rsidP="00BC0781">
      <w:pPr>
        <w:pStyle w:val="NormlnIMP"/>
        <w:spacing w:after="120"/>
        <w:rPr>
          <w:rFonts w:ascii="Arial" w:hAnsi="Arial" w:cs="Arial"/>
          <w:bCs/>
          <w:iCs/>
        </w:rPr>
      </w:pPr>
      <w:r w:rsidRPr="00BC0781">
        <w:rPr>
          <w:rFonts w:ascii="Arial" w:hAnsi="Arial" w:cs="Arial"/>
          <w:bCs/>
          <w:iCs/>
        </w:rPr>
        <w:t xml:space="preserve">Návrh nové obecně závazné vyhlášky se v maximálně možné míře snaží o stanovení objektivních, nediskriminačních a předem známých kritérií pro výběr adresních míst a je koncipován tak, aby nediskriminoval žádného ze současných provozovatelů a zároveň umožnil vstup provozovatelů nových. Byl opuštěn koncept obecně závazné vyhlášky s pozitivním výčtem adresních míst, na kterých lze provozovat hazardní hry, </w:t>
      </w:r>
      <w:r w:rsidRPr="00BC0781">
        <w:rPr>
          <w:rFonts w:ascii="Arial" w:hAnsi="Arial" w:cs="Arial"/>
          <w:b/>
          <w:bCs/>
          <w:iCs/>
        </w:rPr>
        <w:t>a to zejména z důvodu stanoviska ÚOHS.</w:t>
      </w:r>
      <w:r w:rsidRPr="00BC0781">
        <w:rPr>
          <w:rFonts w:ascii="Arial" w:hAnsi="Arial" w:cs="Arial"/>
          <w:bCs/>
          <w:iCs/>
        </w:rPr>
        <w:t xml:space="preserve"> O případné nové žádosti o umístění herního prostoru bude rozhodovat finanční odbor Magistrátu města Prostějova. Pokud žádost bude splňovat podmínky dle § 98 zákona o hazardu, tedy i podmínky pro umístnění herního prostoru stanovené obecně závaznou vyhláškou, bude vydáno povolení k umístění herního prostoru. Takové rozhodnutí bude v případě podaného odvolání přezkoumatelné nadřízeným orgánem, případně soudem v rámci správního soudnictví. </w:t>
      </w:r>
    </w:p>
    <w:p w:rsidR="004B6ABA" w:rsidRDefault="004B6ABA" w:rsidP="00BC0781">
      <w:pPr>
        <w:pStyle w:val="NormlnIMP"/>
        <w:spacing w:after="120"/>
        <w:rPr>
          <w:rFonts w:ascii="Arial" w:hAnsi="Arial" w:cs="Arial"/>
          <w:bCs/>
          <w:iCs/>
        </w:rPr>
      </w:pPr>
    </w:p>
    <w:p w:rsidR="004B6ABA" w:rsidRDefault="004B6ABA" w:rsidP="00BC0781">
      <w:pPr>
        <w:pStyle w:val="NormlnIMP"/>
        <w:spacing w:after="120"/>
        <w:rPr>
          <w:rFonts w:ascii="Arial" w:hAnsi="Arial" w:cs="Arial"/>
          <w:bCs/>
          <w:iCs/>
        </w:rPr>
      </w:pPr>
      <w:r>
        <w:rPr>
          <w:rFonts w:ascii="Arial" w:hAnsi="Arial" w:cs="Arial"/>
          <w:bCs/>
          <w:iCs/>
        </w:rPr>
        <w:t xml:space="preserve">Návrh obecně závazné vyhlášky byl zaslán k posouzení zákonnosti Ministerstvu vnitra ČR dne 4. 11. 2019. </w:t>
      </w:r>
    </w:p>
    <w:p w:rsidR="004977F1" w:rsidRDefault="004977F1" w:rsidP="00BC0781">
      <w:pPr>
        <w:pStyle w:val="NormlnIMP"/>
        <w:spacing w:after="120"/>
        <w:rPr>
          <w:rFonts w:ascii="Arial" w:hAnsi="Arial" w:cs="Arial"/>
          <w:bCs/>
          <w:iCs/>
        </w:rPr>
      </w:pPr>
    </w:p>
    <w:p w:rsidR="004977F1" w:rsidRPr="00BC0781" w:rsidRDefault="004977F1" w:rsidP="00BC0781">
      <w:pPr>
        <w:pStyle w:val="NormlnIMP"/>
        <w:spacing w:after="120"/>
        <w:rPr>
          <w:rFonts w:ascii="Arial" w:hAnsi="Arial" w:cs="Arial"/>
          <w:bCs/>
          <w:iCs/>
        </w:rPr>
      </w:pPr>
    </w:p>
    <w:p w:rsidR="00BC0781" w:rsidRPr="00BC0781" w:rsidRDefault="00BC0781" w:rsidP="00BC0781">
      <w:pPr>
        <w:pStyle w:val="NormlnIMP"/>
        <w:spacing w:after="120"/>
        <w:rPr>
          <w:rFonts w:ascii="Arial" w:hAnsi="Arial" w:cs="Arial"/>
          <w:b/>
          <w:bCs/>
          <w:iCs/>
        </w:rPr>
      </w:pPr>
    </w:p>
    <w:p w:rsidR="00BC0781" w:rsidRPr="004B6ABA" w:rsidRDefault="00BC0781" w:rsidP="00BC0781">
      <w:pPr>
        <w:pStyle w:val="NormlnIMP"/>
        <w:numPr>
          <w:ilvl w:val="0"/>
          <w:numId w:val="41"/>
        </w:numPr>
        <w:spacing w:after="120"/>
        <w:rPr>
          <w:rFonts w:ascii="Arial" w:hAnsi="Arial" w:cs="Arial"/>
          <w:b/>
          <w:bCs/>
          <w:i/>
          <w:iCs/>
          <w:sz w:val="28"/>
          <w:szCs w:val="28"/>
        </w:rPr>
      </w:pPr>
      <w:r w:rsidRPr="004B6ABA">
        <w:rPr>
          <w:rFonts w:ascii="Arial" w:hAnsi="Arial" w:cs="Arial"/>
          <w:b/>
          <w:bCs/>
          <w:iCs/>
          <w:sz w:val="28"/>
          <w:szCs w:val="28"/>
        </w:rPr>
        <w:t>Zrušení OZV č. 2/2012 a 6/2017</w:t>
      </w:r>
    </w:p>
    <w:p w:rsidR="00BC0781" w:rsidRPr="00BC0781" w:rsidRDefault="00BC0781" w:rsidP="00BC0781">
      <w:pPr>
        <w:pStyle w:val="NormlnIMP"/>
        <w:spacing w:after="120"/>
        <w:rPr>
          <w:rFonts w:ascii="Arial" w:hAnsi="Arial" w:cs="Arial"/>
          <w:bCs/>
          <w:iCs/>
        </w:rPr>
      </w:pPr>
    </w:p>
    <w:p w:rsidR="00BC0781" w:rsidRPr="004B6ABA" w:rsidRDefault="00BC0781" w:rsidP="00BC0781">
      <w:pPr>
        <w:pStyle w:val="NormlnIMP"/>
        <w:spacing w:after="120"/>
        <w:rPr>
          <w:rFonts w:ascii="Arial" w:hAnsi="Arial" w:cs="Arial"/>
        </w:rPr>
      </w:pPr>
      <w:r w:rsidRPr="004B6ABA">
        <w:rPr>
          <w:rFonts w:ascii="Arial" w:hAnsi="Arial" w:cs="Arial"/>
        </w:rPr>
        <w:t>V souvislosti se změnou OZV doporučujeme zrušit i stále platnou vyhlášku OZV č. 2/2012</w:t>
      </w:r>
      <w:r w:rsidRPr="004B6ABA">
        <w:rPr>
          <w:rFonts w:ascii="Arial" w:hAnsi="Arial" w:cs="Arial"/>
          <w:bCs/>
        </w:rPr>
        <w:t xml:space="preserve">. Tato vyhláška regulovala provozovny loterií dle dříve platného zákona o loteriích. Na území města již nejsou povoleny výherní hrací přístroje dle tohoto zákona. Platnost povolení posledních těchto výherních hracích přístrojů skončila 21. 9. 2019. Z toho důvodu navrhujeme obecně závaznou vyhlášku č. 2/2012 zrušit, a to s účinností od 1. 2. 2020. </w:t>
      </w:r>
      <w:r w:rsidRPr="004B6ABA">
        <w:rPr>
          <w:rFonts w:ascii="Arial" w:hAnsi="Arial" w:cs="Arial"/>
          <w:bCs/>
          <w:i/>
          <w:iCs/>
        </w:rPr>
        <w:tab/>
      </w:r>
    </w:p>
    <w:p w:rsidR="00BC0781" w:rsidRDefault="00BC0781" w:rsidP="00BC0781">
      <w:pPr>
        <w:pStyle w:val="NormlnIMP"/>
        <w:spacing w:after="120" w:line="240" w:lineRule="auto"/>
        <w:rPr>
          <w:rFonts w:ascii="Arial" w:hAnsi="Arial" w:cs="Arial"/>
          <w:szCs w:val="24"/>
        </w:rPr>
      </w:pPr>
      <w:r w:rsidRPr="00BC0781">
        <w:rPr>
          <w:rFonts w:ascii="Arial" w:hAnsi="Arial" w:cs="Arial"/>
          <w:bCs/>
          <w:iCs/>
          <w:szCs w:val="24"/>
        </w:rPr>
        <w:lastRenderedPageBreak/>
        <w:t xml:space="preserve">Obdobně bude zrušena i OZV č. 6/2017, neboť ji bude v případě schválení Zastupitelstvem zcela nahrazovat nová obecně závazná vyhláška.  </w:t>
      </w:r>
      <w:r w:rsidRPr="00BC0781">
        <w:rPr>
          <w:rFonts w:ascii="Arial" w:hAnsi="Arial" w:cs="Arial"/>
          <w:bCs/>
          <w:iCs/>
          <w:szCs w:val="24"/>
        </w:rPr>
        <w:tab/>
      </w:r>
      <w:r w:rsidRPr="00BC0781">
        <w:rPr>
          <w:rFonts w:ascii="Arial" w:hAnsi="Arial" w:cs="Arial"/>
          <w:bCs/>
          <w:iCs/>
          <w:szCs w:val="24"/>
        </w:rPr>
        <w:tab/>
      </w:r>
      <w:r w:rsidRPr="00BC0781">
        <w:rPr>
          <w:rFonts w:ascii="Arial" w:hAnsi="Arial" w:cs="Arial"/>
          <w:bCs/>
          <w:iCs/>
          <w:szCs w:val="24"/>
        </w:rPr>
        <w:tab/>
      </w:r>
    </w:p>
    <w:p w:rsidR="001D41E2" w:rsidRDefault="001D41E2" w:rsidP="00B8533E">
      <w:pPr>
        <w:jc w:val="both"/>
        <w:rPr>
          <w:rFonts w:ascii="Arial" w:hAnsi="Arial" w:cs="Arial"/>
          <w:u w:val="single"/>
        </w:rPr>
      </w:pPr>
    </w:p>
    <w:p w:rsidR="004B6ABA" w:rsidRDefault="004B6ABA" w:rsidP="00B8533E">
      <w:pPr>
        <w:jc w:val="both"/>
        <w:rPr>
          <w:rFonts w:ascii="Arial" w:hAnsi="Arial" w:cs="Arial"/>
          <w:u w:val="single"/>
        </w:rPr>
      </w:pPr>
    </w:p>
    <w:p w:rsidR="004B6ABA" w:rsidRDefault="004B6ABA" w:rsidP="00B8533E">
      <w:pPr>
        <w:jc w:val="both"/>
        <w:rPr>
          <w:rFonts w:ascii="Arial" w:hAnsi="Arial" w:cs="Arial"/>
          <w:u w:val="single"/>
        </w:rPr>
      </w:pPr>
    </w:p>
    <w:p w:rsidR="004B6ABA" w:rsidRDefault="004B6ABA" w:rsidP="00B8533E">
      <w:pPr>
        <w:jc w:val="both"/>
        <w:rPr>
          <w:rFonts w:ascii="Arial" w:hAnsi="Arial" w:cs="Arial"/>
          <w:u w:val="single"/>
        </w:rPr>
      </w:pPr>
    </w:p>
    <w:p w:rsidR="004B6ABA" w:rsidRDefault="004B6ABA" w:rsidP="00B8533E">
      <w:pPr>
        <w:jc w:val="both"/>
        <w:rPr>
          <w:rFonts w:ascii="Arial" w:hAnsi="Arial" w:cs="Arial"/>
          <w:u w:val="single"/>
        </w:rPr>
      </w:pPr>
    </w:p>
    <w:p w:rsidR="004B6ABA" w:rsidRDefault="004B6ABA" w:rsidP="00B8533E">
      <w:pPr>
        <w:jc w:val="both"/>
        <w:rPr>
          <w:rFonts w:ascii="Arial" w:hAnsi="Arial" w:cs="Arial"/>
          <w:u w:val="single"/>
        </w:rPr>
      </w:pPr>
    </w:p>
    <w:p w:rsidR="00B8533E" w:rsidRPr="00D16047" w:rsidRDefault="00B8533E" w:rsidP="00B8533E">
      <w:pPr>
        <w:jc w:val="both"/>
        <w:rPr>
          <w:sz w:val="20"/>
          <w:szCs w:val="20"/>
        </w:rPr>
      </w:pPr>
      <w:r w:rsidRPr="0087216D">
        <w:rPr>
          <w:rFonts w:ascii="Arial" w:hAnsi="Arial" w:cs="Arial"/>
          <w:u w:val="single"/>
        </w:rPr>
        <w:t>Příloh</w:t>
      </w:r>
      <w:r w:rsidR="00965DD4" w:rsidRPr="0087216D">
        <w:rPr>
          <w:rFonts w:ascii="Arial" w:hAnsi="Arial" w:cs="Arial"/>
          <w:u w:val="single"/>
        </w:rPr>
        <w:t>a (přílohy)</w:t>
      </w:r>
      <w:r w:rsidRPr="0087216D">
        <w:rPr>
          <w:rFonts w:ascii="Arial" w:hAnsi="Arial" w:cs="Arial"/>
          <w:u w:val="single"/>
        </w:rPr>
        <w:t>:</w:t>
      </w:r>
    </w:p>
    <w:p w:rsidR="00B8533E" w:rsidRPr="00D16047" w:rsidRDefault="00B8533E" w:rsidP="00B8533E">
      <w:pPr>
        <w:jc w:val="both"/>
        <w:rPr>
          <w:sz w:val="20"/>
          <w:szCs w:val="20"/>
        </w:rPr>
      </w:pPr>
    </w:p>
    <w:p w:rsidR="00B8533E" w:rsidRDefault="00B05723" w:rsidP="00B8533E">
      <w:pPr>
        <w:jc w:val="both"/>
        <w:rPr>
          <w:rFonts w:ascii="Arial" w:hAnsi="Arial" w:cs="Arial"/>
        </w:rPr>
      </w:pPr>
      <w:r w:rsidRPr="00B05723">
        <w:rPr>
          <w:rFonts w:ascii="Arial" w:hAnsi="Arial" w:cs="Arial"/>
        </w:rPr>
        <w:t xml:space="preserve">Příloha č. 1: Návrh obecně závazné vyhlášky o </w:t>
      </w:r>
      <w:r w:rsidR="004B6ABA">
        <w:rPr>
          <w:rFonts w:ascii="Arial" w:hAnsi="Arial" w:cs="Arial"/>
        </w:rPr>
        <w:t>regulaci provozování hazardních her</w:t>
      </w:r>
    </w:p>
    <w:p w:rsidR="00D630D9" w:rsidRDefault="00D630D9" w:rsidP="00B8533E">
      <w:pPr>
        <w:jc w:val="both"/>
        <w:rPr>
          <w:rFonts w:ascii="Arial" w:hAnsi="Arial" w:cs="Arial"/>
        </w:rPr>
      </w:pPr>
    </w:p>
    <w:p w:rsidR="002B0FEC" w:rsidRDefault="005B3EA6" w:rsidP="00B8533E">
      <w:pPr>
        <w:jc w:val="both"/>
        <w:rPr>
          <w:rFonts w:ascii="Arial" w:hAnsi="Arial" w:cs="Arial"/>
        </w:rPr>
      </w:pPr>
      <w:r>
        <w:rPr>
          <w:rFonts w:ascii="Arial" w:hAnsi="Arial" w:cs="Arial"/>
        </w:rPr>
        <w:t>Příloha č. 2</w:t>
      </w:r>
      <w:r w:rsidR="00B05723" w:rsidRPr="00B05723">
        <w:rPr>
          <w:rFonts w:ascii="Arial" w:hAnsi="Arial" w:cs="Arial"/>
        </w:rPr>
        <w:t xml:space="preserve">: </w:t>
      </w:r>
      <w:r w:rsidR="00D630D9">
        <w:rPr>
          <w:rFonts w:ascii="Arial" w:hAnsi="Arial" w:cs="Arial"/>
        </w:rPr>
        <w:t xml:space="preserve">Stávající </w:t>
      </w:r>
      <w:r w:rsidR="00B05723" w:rsidRPr="00B05723">
        <w:rPr>
          <w:rFonts w:ascii="Arial" w:hAnsi="Arial" w:cs="Arial"/>
        </w:rPr>
        <w:t xml:space="preserve">OZV č. </w:t>
      </w:r>
      <w:r w:rsidR="004B6ABA">
        <w:rPr>
          <w:rFonts w:ascii="Arial" w:hAnsi="Arial" w:cs="Arial"/>
        </w:rPr>
        <w:t>6/2017</w:t>
      </w:r>
    </w:p>
    <w:p w:rsidR="004B6ABA" w:rsidRDefault="004B6ABA" w:rsidP="00B8533E">
      <w:pPr>
        <w:jc w:val="both"/>
        <w:rPr>
          <w:rFonts w:ascii="Arial" w:hAnsi="Arial" w:cs="Arial"/>
        </w:rPr>
      </w:pPr>
    </w:p>
    <w:p w:rsidR="004B6ABA" w:rsidRDefault="004B6ABA" w:rsidP="00B8533E">
      <w:pPr>
        <w:jc w:val="both"/>
        <w:rPr>
          <w:rFonts w:ascii="Arial" w:hAnsi="Arial" w:cs="Arial"/>
        </w:rPr>
      </w:pPr>
    </w:p>
    <w:p w:rsidR="004B6ABA" w:rsidRPr="00B05723" w:rsidRDefault="004F4322" w:rsidP="00B8533E">
      <w:pPr>
        <w:jc w:val="both"/>
        <w:rPr>
          <w:rFonts w:ascii="Arial" w:hAnsi="Arial" w:cs="Arial"/>
        </w:rPr>
      </w:pPr>
      <w:r>
        <w:rPr>
          <w:rFonts w:ascii="Arial" w:hAnsi="Arial" w:cs="Arial"/>
        </w:rPr>
        <w:object w:dxaOrig="1542" w:dyaOrig="1000">
          <v:shape id="_x0000_i1038" type="#_x0000_t75" style="width:77.25pt;height:50.25pt" o:ole="">
            <v:imagedata r:id="rId35" o:title=""/>
          </v:shape>
          <o:OLEObject Type="Embed" ProgID="AcroExch.Document.DC" ShapeID="_x0000_i1038" DrawAspect="Icon" ObjectID="_1636287239" r:id="rId36"/>
        </w:object>
      </w:r>
      <w:r>
        <w:rPr>
          <w:rFonts w:ascii="Arial" w:hAnsi="Arial" w:cs="Arial"/>
        </w:rPr>
        <w:object w:dxaOrig="1542" w:dyaOrig="1000">
          <v:shape id="_x0000_i1039" type="#_x0000_t75" style="width:77.25pt;height:50.25pt" o:ole="">
            <v:imagedata r:id="rId37" o:title=""/>
          </v:shape>
          <o:OLEObject Type="Embed" ProgID="AcroExch.Document.DC" ShapeID="_x0000_i1039" DrawAspect="Icon" ObjectID="_1636287240" r:id="rId38"/>
        </w:object>
      </w:r>
    </w:p>
    <w:sectPr w:rsidR="004B6ABA" w:rsidRPr="00B05723" w:rsidSect="00F530AD">
      <w:footerReference w:type="default" r:id="rId39"/>
      <w:pgSz w:w="11906" w:h="16838"/>
      <w:pgMar w:top="1417" w:right="991"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42AE" w:rsidRDefault="00E942AE" w:rsidP="00C71327">
      <w:r>
        <w:separator/>
      </w:r>
    </w:p>
  </w:endnote>
  <w:endnote w:type="continuationSeparator" w:id="0">
    <w:p w:rsidR="00E942AE" w:rsidRDefault="00E942AE" w:rsidP="00C71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006" w:rsidRPr="00844E83" w:rsidRDefault="0054556D">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Zastupitelstvo</w:t>
    </w:r>
    <w:r w:rsidR="000B1006" w:rsidRPr="00844E83">
      <w:rPr>
        <w:rFonts w:ascii="Arial" w:eastAsiaTheme="majorEastAsia" w:hAnsi="Arial" w:cs="Arial"/>
        <w:sz w:val="20"/>
        <w:szCs w:val="20"/>
      </w:rPr>
      <w:t xml:space="preserve"> města Prostějova </w:t>
    </w:r>
    <w:r w:rsidR="00F46CAE">
      <w:rPr>
        <w:rFonts w:ascii="Arial" w:eastAsiaTheme="majorEastAsia" w:hAnsi="Arial" w:cs="Arial"/>
        <w:sz w:val="20"/>
        <w:szCs w:val="20"/>
      </w:rPr>
      <w:t>3</w:t>
    </w:r>
    <w:r>
      <w:rPr>
        <w:rFonts w:ascii="Arial" w:eastAsiaTheme="majorEastAsia" w:hAnsi="Arial" w:cs="Arial"/>
        <w:sz w:val="20"/>
        <w:szCs w:val="20"/>
      </w:rPr>
      <w:t xml:space="preserve">. </w:t>
    </w:r>
    <w:r w:rsidR="00F46CAE">
      <w:rPr>
        <w:rFonts w:ascii="Arial" w:eastAsiaTheme="majorEastAsia" w:hAnsi="Arial" w:cs="Arial"/>
        <w:sz w:val="20"/>
        <w:szCs w:val="20"/>
      </w:rPr>
      <w:t>12</w:t>
    </w:r>
    <w:r>
      <w:rPr>
        <w:rFonts w:ascii="Arial" w:eastAsiaTheme="majorEastAsia" w:hAnsi="Arial" w:cs="Arial"/>
        <w:sz w:val="20"/>
        <w:szCs w:val="20"/>
      </w:rPr>
      <w:t>. 2019</w:t>
    </w:r>
    <w:r w:rsidR="000B1006" w:rsidRPr="00844E83">
      <w:rPr>
        <w:rFonts w:ascii="Arial" w:eastAsiaTheme="majorEastAsia" w:hAnsi="Arial" w:cs="Arial"/>
        <w:sz w:val="20"/>
        <w:szCs w:val="20"/>
      </w:rPr>
      <w:tab/>
    </w:r>
    <w:r w:rsidR="000B1006" w:rsidRPr="00844E83">
      <w:rPr>
        <w:rFonts w:ascii="Arial" w:eastAsiaTheme="majorEastAsia" w:hAnsi="Arial" w:cs="Arial"/>
        <w:sz w:val="20"/>
        <w:szCs w:val="20"/>
      </w:rPr>
      <w:tab/>
      <w:t xml:space="preserve">Strana </w:t>
    </w:r>
    <w:r w:rsidR="000B1006" w:rsidRPr="00844E83">
      <w:rPr>
        <w:rFonts w:ascii="Arial" w:eastAsiaTheme="minorEastAsia" w:hAnsi="Arial" w:cs="Arial"/>
        <w:sz w:val="20"/>
        <w:szCs w:val="20"/>
      </w:rPr>
      <w:fldChar w:fldCharType="begin"/>
    </w:r>
    <w:r w:rsidR="000B1006" w:rsidRPr="00844E83">
      <w:rPr>
        <w:rFonts w:ascii="Arial" w:hAnsi="Arial" w:cs="Arial"/>
        <w:sz w:val="20"/>
        <w:szCs w:val="20"/>
      </w:rPr>
      <w:instrText>PAGE   \* MERGEFORMAT</w:instrText>
    </w:r>
    <w:r w:rsidR="000B1006" w:rsidRPr="00844E83">
      <w:rPr>
        <w:rFonts w:ascii="Arial" w:eastAsiaTheme="minorEastAsia" w:hAnsi="Arial" w:cs="Arial"/>
        <w:sz w:val="20"/>
        <w:szCs w:val="20"/>
      </w:rPr>
      <w:fldChar w:fldCharType="separate"/>
    </w:r>
    <w:r w:rsidR="000847D3" w:rsidRPr="000847D3">
      <w:rPr>
        <w:rFonts w:ascii="Arial" w:eastAsiaTheme="majorEastAsia" w:hAnsi="Arial" w:cs="Arial"/>
        <w:noProof/>
        <w:sz w:val="20"/>
        <w:szCs w:val="20"/>
      </w:rPr>
      <w:t>1</w:t>
    </w:r>
    <w:r w:rsidR="000B1006" w:rsidRPr="00844E83">
      <w:rPr>
        <w:rFonts w:ascii="Arial" w:eastAsiaTheme="majorEastAsia" w:hAnsi="Arial" w:cs="Arial"/>
        <w:sz w:val="20"/>
        <w:szCs w:val="20"/>
      </w:rPr>
      <w:fldChar w:fldCharType="end"/>
    </w:r>
  </w:p>
  <w:p w:rsidR="00F46CAE" w:rsidRPr="00A73233" w:rsidRDefault="0054556D" w:rsidP="00A73233">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 xml:space="preserve">Návrh obecně závazné vyhlášky o </w:t>
    </w:r>
    <w:r w:rsidR="007C30A8">
      <w:rPr>
        <w:rFonts w:ascii="Arial" w:eastAsiaTheme="majorEastAsia" w:hAnsi="Arial" w:cs="Arial"/>
        <w:sz w:val="20"/>
        <w:szCs w:val="20"/>
      </w:rPr>
      <w:t>regulaci provozování hazardních her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42AE" w:rsidRDefault="00E942AE" w:rsidP="00C71327">
      <w:r>
        <w:separator/>
      </w:r>
    </w:p>
  </w:footnote>
  <w:footnote w:type="continuationSeparator" w:id="0">
    <w:p w:rsidR="00E942AE" w:rsidRDefault="00E942AE" w:rsidP="00C713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F0164A"/>
    <w:multiLevelType w:val="hybridMultilevel"/>
    <w:tmpl w:val="486CD62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59E2476"/>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82812F3"/>
    <w:multiLevelType w:val="hybridMultilevel"/>
    <w:tmpl w:val="308E1E7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8501519"/>
    <w:multiLevelType w:val="hybridMultilevel"/>
    <w:tmpl w:val="3C76083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CC22A86"/>
    <w:multiLevelType w:val="hybridMultilevel"/>
    <w:tmpl w:val="B8AC126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0937EB5"/>
    <w:multiLevelType w:val="hybridMultilevel"/>
    <w:tmpl w:val="9796F7C4"/>
    <w:lvl w:ilvl="0" w:tplc="4724A12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1AB7405"/>
    <w:multiLevelType w:val="hybridMultilevel"/>
    <w:tmpl w:val="819220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92B29E7"/>
    <w:multiLevelType w:val="hybridMultilevel"/>
    <w:tmpl w:val="B2305FC0"/>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nsid w:val="1E8461F9"/>
    <w:multiLevelType w:val="hybridMultilevel"/>
    <w:tmpl w:val="AF4A1DB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228D2223"/>
    <w:multiLevelType w:val="hybridMultilevel"/>
    <w:tmpl w:val="0A968096"/>
    <w:lvl w:ilvl="0" w:tplc="71D0A53A">
      <w:start w:val="1"/>
      <w:numFmt w:val="decimal"/>
      <w:lvlText w:val="%1."/>
      <w:lvlJc w:val="left"/>
      <w:pPr>
        <w:ind w:left="720" w:hanging="360"/>
      </w:pPr>
      <w:rPr>
        <w:rFonts w:ascii="Times New Roman" w:eastAsia="Times New Roman"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2F973EB"/>
    <w:multiLevelType w:val="hybridMultilevel"/>
    <w:tmpl w:val="FB464BBC"/>
    <w:lvl w:ilvl="0" w:tplc="04050017">
      <w:start w:val="1"/>
      <w:numFmt w:val="lowerLetter"/>
      <w:lvlText w:val="%1)"/>
      <w:lvlJc w:val="left"/>
      <w:pPr>
        <w:ind w:left="1146" w:hanging="360"/>
      </w:pPr>
      <w:rPr>
        <w:rFonts w:hint="default"/>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2">
    <w:nsid w:val="23EB21A2"/>
    <w:multiLevelType w:val="multilevel"/>
    <w:tmpl w:val="E0E44108"/>
    <w:lvl w:ilvl="0">
      <w:start w:val="1"/>
      <w:numFmt w:val="lowerLetter"/>
      <w:lvlText w:val="%1)"/>
      <w:legacy w:legacy="1" w:legacySpace="120" w:legacyIndent="360"/>
      <w:lvlJc w:val="left"/>
      <w:pPr>
        <w:ind w:left="4466" w:hanging="360"/>
      </w:pPr>
      <w:rPr>
        <w:rFonts w:ascii="Times New Roman" w:eastAsia="Times New Roman" w:hAnsi="Times New Roman" w:cs="Times New Roman"/>
      </w:rPr>
    </w:lvl>
    <w:lvl w:ilvl="1">
      <w:start w:val="1"/>
      <w:numFmt w:val="none"/>
      <w:lvlText w:val="o"/>
      <w:legacy w:legacy="1" w:legacySpace="120" w:legacyIndent="360"/>
      <w:lvlJc w:val="left"/>
      <w:pPr>
        <w:ind w:left="3408" w:hanging="360"/>
      </w:pPr>
      <w:rPr>
        <w:rFonts w:ascii="Courier New" w:hAnsi="Courier New" w:cs="Times New Roman" w:hint="default"/>
      </w:rPr>
    </w:lvl>
    <w:lvl w:ilvl="2">
      <w:start w:val="1"/>
      <w:numFmt w:val="none"/>
      <w:lvlText w:val=""/>
      <w:legacy w:legacy="1" w:legacySpace="120" w:legacyIndent="360"/>
      <w:lvlJc w:val="left"/>
      <w:pPr>
        <w:ind w:left="3768" w:hanging="360"/>
      </w:pPr>
      <w:rPr>
        <w:rFonts w:ascii="Wingdings" w:hAnsi="Wingdings" w:hint="default"/>
      </w:rPr>
    </w:lvl>
    <w:lvl w:ilvl="3">
      <w:start w:val="1"/>
      <w:numFmt w:val="none"/>
      <w:lvlText w:val=""/>
      <w:legacy w:legacy="1" w:legacySpace="120" w:legacyIndent="360"/>
      <w:lvlJc w:val="left"/>
      <w:pPr>
        <w:ind w:left="4128" w:hanging="360"/>
      </w:pPr>
      <w:rPr>
        <w:rFonts w:ascii="Symbol" w:hAnsi="Symbol" w:hint="default"/>
      </w:rPr>
    </w:lvl>
    <w:lvl w:ilvl="4">
      <w:start w:val="1"/>
      <w:numFmt w:val="none"/>
      <w:lvlText w:val="o"/>
      <w:legacy w:legacy="1" w:legacySpace="120" w:legacyIndent="360"/>
      <w:lvlJc w:val="left"/>
      <w:pPr>
        <w:ind w:left="4488" w:hanging="360"/>
      </w:pPr>
      <w:rPr>
        <w:rFonts w:ascii="Courier New" w:hAnsi="Courier New" w:cs="Times New Roman" w:hint="default"/>
      </w:rPr>
    </w:lvl>
    <w:lvl w:ilvl="5">
      <w:start w:val="1"/>
      <w:numFmt w:val="none"/>
      <w:lvlText w:val=""/>
      <w:legacy w:legacy="1" w:legacySpace="120" w:legacyIndent="360"/>
      <w:lvlJc w:val="left"/>
      <w:pPr>
        <w:ind w:left="4848" w:hanging="360"/>
      </w:pPr>
      <w:rPr>
        <w:rFonts w:ascii="Wingdings" w:hAnsi="Wingdings" w:hint="default"/>
      </w:rPr>
    </w:lvl>
    <w:lvl w:ilvl="6">
      <w:start w:val="1"/>
      <w:numFmt w:val="none"/>
      <w:lvlText w:val=""/>
      <w:legacy w:legacy="1" w:legacySpace="120" w:legacyIndent="360"/>
      <w:lvlJc w:val="left"/>
      <w:pPr>
        <w:ind w:left="5208" w:hanging="360"/>
      </w:pPr>
      <w:rPr>
        <w:rFonts w:ascii="Symbol" w:hAnsi="Symbol" w:hint="default"/>
      </w:rPr>
    </w:lvl>
    <w:lvl w:ilvl="7">
      <w:start w:val="1"/>
      <w:numFmt w:val="none"/>
      <w:lvlText w:val="o"/>
      <w:legacy w:legacy="1" w:legacySpace="120" w:legacyIndent="360"/>
      <w:lvlJc w:val="left"/>
      <w:pPr>
        <w:ind w:left="5568" w:hanging="360"/>
      </w:pPr>
      <w:rPr>
        <w:rFonts w:ascii="Courier New" w:hAnsi="Courier New" w:cs="Times New Roman" w:hint="default"/>
      </w:rPr>
    </w:lvl>
    <w:lvl w:ilvl="8">
      <w:start w:val="1"/>
      <w:numFmt w:val="none"/>
      <w:lvlText w:val=""/>
      <w:legacy w:legacy="1" w:legacySpace="120" w:legacyIndent="360"/>
      <w:lvlJc w:val="left"/>
      <w:pPr>
        <w:ind w:left="5928" w:hanging="360"/>
      </w:pPr>
      <w:rPr>
        <w:rFonts w:ascii="Wingdings" w:hAnsi="Wingdings" w:hint="default"/>
      </w:rPr>
    </w:lvl>
  </w:abstractNum>
  <w:abstractNum w:abstractNumId="13">
    <w:nsid w:val="254C0E9D"/>
    <w:multiLevelType w:val="hybridMultilevel"/>
    <w:tmpl w:val="DD4AFCC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nsid w:val="2AF77FD7"/>
    <w:multiLevelType w:val="hybridMultilevel"/>
    <w:tmpl w:val="259C2C7E"/>
    <w:lvl w:ilvl="0" w:tplc="0405000F">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0001E08"/>
    <w:multiLevelType w:val="hybridMultilevel"/>
    <w:tmpl w:val="E650196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30AD2A27"/>
    <w:multiLevelType w:val="hybridMultilevel"/>
    <w:tmpl w:val="2368BFB6"/>
    <w:lvl w:ilvl="0" w:tplc="59C8D69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39D9728F"/>
    <w:multiLevelType w:val="hybridMultilevel"/>
    <w:tmpl w:val="B60A35B8"/>
    <w:lvl w:ilvl="0" w:tplc="DD547EFE">
      <w:start w:val="1"/>
      <w:numFmt w:val="upperRoman"/>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
    <w:nsid w:val="3A7E226B"/>
    <w:multiLevelType w:val="hybridMultilevel"/>
    <w:tmpl w:val="A31E67E6"/>
    <w:lvl w:ilvl="0" w:tplc="87D0CA76">
      <w:start w:val="1"/>
      <w:numFmt w:val="upperRoman"/>
      <w:lvlText w:val="%1."/>
      <w:lvlJc w:val="left"/>
      <w:pPr>
        <w:ind w:left="1082" w:hanging="720"/>
      </w:pPr>
      <w:rPr>
        <w:rFonts w:hint="default"/>
      </w:rPr>
    </w:lvl>
    <w:lvl w:ilvl="1" w:tplc="04050019">
      <w:start w:val="1"/>
      <w:numFmt w:val="lowerLetter"/>
      <w:lvlText w:val="%2."/>
      <w:lvlJc w:val="left"/>
      <w:pPr>
        <w:ind w:left="1442" w:hanging="360"/>
      </w:pPr>
    </w:lvl>
    <w:lvl w:ilvl="2" w:tplc="0405001B" w:tentative="1">
      <w:start w:val="1"/>
      <w:numFmt w:val="lowerRoman"/>
      <w:lvlText w:val="%3."/>
      <w:lvlJc w:val="right"/>
      <w:pPr>
        <w:ind w:left="2162" w:hanging="180"/>
      </w:pPr>
    </w:lvl>
    <w:lvl w:ilvl="3" w:tplc="0405000F" w:tentative="1">
      <w:start w:val="1"/>
      <w:numFmt w:val="decimal"/>
      <w:lvlText w:val="%4."/>
      <w:lvlJc w:val="left"/>
      <w:pPr>
        <w:ind w:left="2882" w:hanging="360"/>
      </w:pPr>
    </w:lvl>
    <w:lvl w:ilvl="4" w:tplc="04050019" w:tentative="1">
      <w:start w:val="1"/>
      <w:numFmt w:val="lowerLetter"/>
      <w:lvlText w:val="%5."/>
      <w:lvlJc w:val="left"/>
      <w:pPr>
        <w:ind w:left="3602" w:hanging="360"/>
      </w:pPr>
    </w:lvl>
    <w:lvl w:ilvl="5" w:tplc="0405001B" w:tentative="1">
      <w:start w:val="1"/>
      <w:numFmt w:val="lowerRoman"/>
      <w:lvlText w:val="%6."/>
      <w:lvlJc w:val="right"/>
      <w:pPr>
        <w:ind w:left="4322" w:hanging="180"/>
      </w:pPr>
    </w:lvl>
    <w:lvl w:ilvl="6" w:tplc="0405000F" w:tentative="1">
      <w:start w:val="1"/>
      <w:numFmt w:val="decimal"/>
      <w:lvlText w:val="%7."/>
      <w:lvlJc w:val="left"/>
      <w:pPr>
        <w:ind w:left="5042" w:hanging="360"/>
      </w:pPr>
    </w:lvl>
    <w:lvl w:ilvl="7" w:tplc="04050019" w:tentative="1">
      <w:start w:val="1"/>
      <w:numFmt w:val="lowerLetter"/>
      <w:lvlText w:val="%8."/>
      <w:lvlJc w:val="left"/>
      <w:pPr>
        <w:ind w:left="5762" w:hanging="360"/>
      </w:pPr>
    </w:lvl>
    <w:lvl w:ilvl="8" w:tplc="0405001B" w:tentative="1">
      <w:start w:val="1"/>
      <w:numFmt w:val="lowerRoman"/>
      <w:lvlText w:val="%9."/>
      <w:lvlJc w:val="right"/>
      <w:pPr>
        <w:ind w:left="6482" w:hanging="180"/>
      </w:pPr>
    </w:lvl>
  </w:abstractNum>
  <w:abstractNum w:abstractNumId="19">
    <w:nsid w:val="488D1573"/>
    <w:multiLevelType w:val="hybridMultilevel"/>
    <w:tmpl w:val="7966E514"/>
    <w:lvl w:ilvl="0" w:tplc="1F3ECE8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4A670A9A"/>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50D37613"/>
    <w:multiLevelType w:val="hybridMultilevel"/>
    <w:tmpl w:val="D9F06126"/>
    <w:lvl w:ilvl="0" w:tplc="4658136C">
      <w:start w:val="1"/>
      <w:numFmt w:val="decimal"/>
      <w:lvlText w:val="%1."/>
      <w:lvlJc w:val="left"/>
      <w:pPr>
        <w:tabs>
          <w:tab w:val="num" w:pos="720"/>
        </w:tabs>
        <w:ind w:left="720" w:hanging="360"/>
      </w:pPr>
      <w:rPr>
        <w:rFonts w:hint="default"/>
        <w:b w:val="0"/>
        <w:sz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nsid w:val="523D2EEC"/>
    <w:multiLevelType w:val="hybridMultilevel"/>
    <w:tmpl w:val="BA0AB15C"/>
    <w:lvl w:ilvl="0" w:tplc="D8E41A0C">
      <w:start w:val="3"/>
      <w:numFmt w:val="bullet"/>
      <w:lvlText w:val="-"/>
      <w:lvlJc w:val="left"/>
      <w:pPr>
        <w:ind w:left="360" w:hanging="360"/>
      </w:pPr>
      <w:rPr>
        <w:rFonts w:ascii="Arial" w:eastAsia="Times New Roman" w:hAnsi="Arial" w:cs="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3">
    <w:nsid w:val="57924486"/>
    <w:multiLevelType w:val="hybridMultilevel"/>
    <w:tmpl w:val="55F4F0FE"/>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
    <w:nsid w:val="58BE308C"/>
    <w:multiLevelType w:val="hybridMultilevel"/>
    <w:tmpl w:val="DDF0EB88"/>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nsid w:val="594331A8"/>
    <w:multiLevelType w:val="hybridMultilevel"/>
    <w:tmpl w:val="9926E63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5A146BDD"/>
    <w:multiLevelType w:val="hybridMultilevel"/>
    <w:tmpl w:val="C3AADBB4"/>
    <w:lvl w:ilvl="0" w:tplc="1CD8D74A">
      <w:start w:val="1"/>
      <w:numFmt w:val="upperRoman"/>
      <w:lvlText w:val="%1."/>
      <w:lvlJc w:val="left"/>
      <w:pPr>
        <w:ind w:left="1080" w:hanging="72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5B7855FF"/>
    <w:multiLevelType w:val="hybridMultilevel"/>
    <w:tmpl w:val="443068BA"/>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nsid w:val="5F0D390C"/>
    <w:multiLevelType w:val="hybridMultilevel"/>
    <w:tmpl w:val="2D5EE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61D85C30"/>
    <w:multiLevelType w:val="hybridMultilevel"/>
    <w:tmpl w:val="808015B6"/>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634508D8"/>
    <w:multiLevelType w:val="hybridMultilevel"/>
    <w:tmpl w:val="5B5AF4B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nsid w:val="638C4EC8"/>
    <w:multiLevelType w:val="hybridMultilevel"/>
    <w:tmpl w:val="ECA645BA"/>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2">
    <w:nsid w:val="642A5936"/>
    <w:multiLevelType w:val="hybridMultilevel"/>
    <w:tmpl w:val="6ED20396"/>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68D202F0"/>
    <w:multiLevelType w:val="hybridMultilevel"/>
    <w:tmpl w:val="2744B0D6"/>
    <w:lvl w:ilvl="0" w:tplc="0405000F">
      <w:start w:val="1"/>
      <w:numFmt w:val="decimal"/>
      <w:lvlText w:val="%1."/>
      <w:lvlJc w:val="left"/>
      <w:pPr>
        <w:ind w:left="360" w:hanging="360"/>
      </w:pPr>
      <w:rPr>
        <w:rFonts w:ascii="Times New Roman" w:hAnsi="Times New Roman"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4">
    <w:nsid w:val="7198311A"/>
    <w:multiLevelType w:val="hybridMultilevel"/>
    <w:tmpl w:val="F7C02694"/>
    <w:lvl w:ilvl="0" w:tplc="8E28FDC4">
      <w:start w:val="1"/>
      <w:numFmt w:val="lowerLetter"/>
      <w:lvlText w:val="%1)"/>
      <w:lvlJc w:val="left"/>
      <w:pPr>
        <w:tabs>
          <w:tab w:val="num" w:pos="748"/>
        </w:tabs>
        <w:ind w:left="748" w:hanging="360"/>
      </w:pPr>
      <w:rPr>
        <w:rFonts w:hint="default"/>
        <w:sz w:val="20"/>
      </w:rPr>
    </w:lvl>
    <w:lvl w:ilvl="1" w:tplc="04050019">
      <w:start w:val="1"/>
      <w:numFmt w:val="lowerLetter"/>
      <w:lvlText w:val="%2."/>
      <w:lvlJc w:val="left"/>
      <w:pPr>
        <w:tabs>
          <w:tab w:val="num" w:pos="1468"/>
        </w:tabs>
        <w:ind w:left="1468" w:hanging="360"/>
      </w:pPr>
    </w:lvl>
    <w:lvl w:ilvl="2" w:tplc="0405001B" w:tentative="1">
      <w:start w:val="1"/>
      <w:numFmt w:val="lowerRoman"/>
      <w:lvlText w:val="%3."/>
      <w:lvlJc w:val="right"/>
      <w:pPr>
        <w:tabs>
          <w:tab w:val="num" w:pos="2188"/>
        </w:tabs>
        <w:ind w:left="2188" w:hanging="180"/>
      </w:pPr>
    </w:lvl>
    <w:lvl w:ilvl="3" w:tplc="0405000F" w:tentative="1">
      <w:start w:val="1"/>
      <w:numFmt w:val="decimal"/>
      <w:lvlText w:val="%4."/>
      <w:lvlJc w:val="left"/>
      <w:pPr>
        <w:tabs>
          <w:tab w:val="num" w:pos="2908"/>
        </w:tabs>
        <w:ind w:left="2908" w:hanging="360"/>
      </w:pPr>
    </w:lvl>
    <w:lvl w:ilvl="4" w:tplc="04050019" w:tentative="1">
      <w:start w:val="1"/>
      <w:numFmt w:val="lowerLetter"/>
      <w:lvlText w:val="%5."/>
      <w:lvlJc w:val="left"/>
      <w:pPr>
        <w:tabs>
          <w:tab w:val="num" w:pos="3628"/>
        </w:tabs>
        <w:ind w:left="3628" w:hanging="360"/>
      </w:pPr>
    </w:lvl>
    <w:lvl w:ilvl="5" w:tplc="0405001B" w:tentative="1">
      <w:start w:val="1"/>
      <w:numFmt w:val="lowerRoman"/>
      <w:lvlText w:val="%6."/>
      <w:lvlJc w:val="right"/>
      <w:pPr>
        <w:tabs>
          <w:tab w:val="num" w:pos="4348"/>
        </w:tabs>
        <w:ind w:left="4348" w:hanging="180"/>
      </w:pPr>
    </w:lvl>
    <w:lvl w:ilvl="6" w:tplc="0405000F" w:tentative="1">
      <w:start w:val="1"/>
      <w:numFmt w:val="decimal"/>
      <w:lvlText w:val="%7."/>
      <w:lvlJc w:val="left"/>
      <w:pPr>
        <w:tabs>
          <w:tab w:val="num" w:pos="5068"/>
        </w:tabs>
        <w:ind w:left="5068" w:hanging="360"/>
      </w:pPr>
    </w:lvl>
    <w:lvl w:ilvl="7" w:tplc="04050019" w:tentative="1">
      <w:start w:val="1"/>
      <w:numFmt w:val="lowerLetter"/>
      <w:lvlText w:val="%8."/>
      <w:lvlJc w:val="left"/>
      <w:pPr>
        <w:tabs>
          <w:tab w:val="num" w:pos="5788"/>
        </w:tabs>
        <w:ind w:left="5788" w:hanging="360"/>
      </w:pPr>
    </w:lvl>
    <w:lvl w:ilvl="8" w:tplc="0405001B" w:tentative="1">
      <w:start w:val="1"/>
      <w:numFmt w:val="lowerRoman"/>
      <w:lvlText w:val="%9."/>
      <w:lvlJc w:val="right"/>
      <w:pPr>
        <w:tabs>
          <w:tab w:val="num" w:pos="6508"/>
        </w:tabs>
        <w:ind w:left="6508" w:hanging="180"/>
      </w:pPr>
    </w:lvl>
  </w:abstractNum>
  <w:abstractNum w:abstractNumId="35">
    <w:nsid w:val="763778E8"/>
    <w:multiLevelType w:val="hybridMultilevel"/>
    <w:tmpl w:val="33FEEE4E"/>
    <w:lvl w:ilvl="0" w:tplc="60B6B60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77030E5E"/>
    <w:multiLevelType w:val="hybridMultilevel"/>
    <w:tmpl w:val="D646F35C"/>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7">
    <w:nsid w:val="777E6285"/>
    <w:multiLevelType w:val="hybridMultilevel"/>
    <w:tmpl w:val="83B64B30"/>
    <w:lvl w:ilvl="0" w:tplc="DC7283D2">
      <w:start w:val="1"/>
      <w:numFmt w:val="upperRoman"/>
      <w:lvlText w:val="%1."/>
      <w:lvlJc w:val="left"/>
      <w:pPr>
        <w:ind w:left="720" w:hanging="720"/>
      </w:pPr>
      <w:rPr>
        <w:rFonts w:hint="default"/>
        <w:i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8">
    <w:nsid w:val="79A802F3"/>
    <w:multiLevelType w:val="hybridMultilevel"/>
    <w:tmpl w:val="CB3C45C0"/>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nsid w:val="7B4963F7"/>
    <w:multiLevelType w:val="hybridMultilevel"/>
    <w:tmpl w:val="4024F214"/>
    <w:lvl w:ilvl="0" w:tplc="04050017">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9"/>
  </w:num>
  <w:num w:numId="2">
    <w:abstractNumId w:val="30"/>
  </w:num>
  <w:num w:numId="3">
    <w:abstractNumId w:val="38"/>
  </w:num>
  <w:num w:numId="4">
    <w:abstractNumId w:val="13"/>
  </w:num>
  <w:num w:numId="5">
    <w:abstractNumId w:val="21"/>
  </w:num>
  <w:num w:numId="6">
    <w:abstractNumId w:val="27"/>
  </w:num>
  <w:num w:numId="7">
    <w:abstractNumId w:val="23"/>
  </w:num>
  <w:num w:numId="8">
    <w:abstractNumId w:val="0"/>
    <w:lvlOverride w:ilvl="0">
      <w:lvl w:ilvl="0">
        <w:start w:val="1"/>
        <w:numFmt w:val="bullet"/>
        <w:lvlText w:val="-"/>
        <w:legacy w:legacy="1" w:legacySpace="0" w:legacyIndent="283"/>
        <w:lvlJc w:val="left"/>
        <w:pPr>
          <w:ind w:left="1699" w:hanging="283"/>
        </w:pPr>
        <w:rPr>
          <w:rFonts w:ascii="Times New Roman" w:hAnsi="Times New Roman" w:hint="default"/>
          <w:b w:val="0"/>
          <w:i w:val="0"/>
          <w:sz w:val="22"/>
          <w:u w:val="none"/>
        </w:rPr>
      </w:lvl>
    </w:lvlOverride>
  </w:num>
  <w:num w:numId="9">
    <w:abstractNumId w:val="24"/>
  </w:num>
  <w:num w:numId="10">
    <w:abstractNumId w:val="6"/>
  </w:num>
  <w:num w:numId="11">
    <w:abstractNumId w:val="34"/>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9"/>
  </w:num>
  <w:num w:numId="14">
    <w:abstractNumId w:val="25"/>
  </w:num>
  <w:num w:numId="15">
    <w:abstractNumId w:val="18"/>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1"/>
  </w:num>
  <w:num w:numId="19">
    <w:abstractNumId w:val="19"/>
  </w:num>
  <w:num w:numId="20">
    <w:abstractNumId w:val="11"/>
  </w:num>
  <w:num w:numId="21">
    <w:abstractNumId w:val="16"/>
  </w:num>
  <w:num w:numId="22">
    <w:abstractNumId w:val="20"/>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15"/>
  </w:num>
  <w:num w:numId="26">
    <w:abstractNumId w:val="28"/>
  </w:num>
  <w:num w:numId="27">
    <w:abstractNumId w:val="9"/>
  </w:num>
  <w:num w:numId="28">
    <w:abstractNumId w:val="7"/>
  </w:num>
  <w:num w:numId="29">
    <w:abstractNumId w:val="8"/>
  </w:num>
  <w:num w:numId="30">
    <w:abstractNumId w:val="10"/>
  </w:num>
  <w:num w:numId="31">
    <w:abstractNumId w:val="14"/>
  </w:num>
  <w:num w:numId="32">
    <w:abstractNumId w:val="35"/>
  </w:num>
  <w:num w:numId="33">
    <w:abstractNumId w:val="5"/>
  </w:num>
  <w:num w:numId="34">
    <w:abstractNumId w:val="17"/>
  </w:num>
  <w:num w:numId="35">
    <w:abstractNumId w:val="3"/>
  </w:num>
  <w:num w:numId="36">
    <w:abstractNumId w:val="36"/>
  </w:num>
  <w:num w:numId="37">
    <w:abstractNumId w:val="22"/>
  </w:num>
  <w:num w:numId="38">
    <w:abstractNumId w:val="4"/>
  </w:num>
  <w:num w:numId="39">
    <w:abstractNumId w:val="32"/>
  </w:num>
  <w:num w:numId="40">
    <w:abstractNumId w:val="33"/>
  </w:num>
  <w:num w:numId="41">
    <w:abstractNumId w:val="37"/>
  </w:num>
  <w:num w:numId="4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ABD"/>
    <w:rsid w:val="0000024A"/>
    <w:rsid w:val="000017F5"/>
    <w:rsid w:val="000049B8"/>
    <w:rsid w:val="00005FF5"/>
    <w:rsid w:val="0001373F"/>
    <w:rsid w:val="00017476"/>
    <w:rsid w:val="00021846"/>
    <w:rsid w:val="0002313E"/>
    <w:rsid w:val="00037325"/>
    <w:rsid w:val="0004432C"/>
    <w:rsid w:val="00065509"/>
    <w:rsid w:val="00072FEA"/>
    <w:rsid w:val="000774DA"/>
    <w:rsid w:val="00081B27"/>
    <w:rsid w:val="000847D3"/>
    <w:rsid w:val="00096EAC"/>
    <w:rsid w:val="000A2277"/>
    <w:rsid w:val="000A73FE"/>
    <w:rsid w:val="000B1006"/>
    <w:rsid w:val="000B1032"/>
    <w:rsid w:val="000B3AA7"/>
    <w:rsid w:val="000B5626"/>
    <w:rsid w:val="000B5A1C"/>
    <w:rsid w:val="000B60A2"/>
    <w:rsid w:val="000B7EBA"/>
    <w:rsid w:val="000C05E3"/>
    <w:rsid w:val="000C2098"/>
    <w:rsid w:val="000C33B6"/>
    <w:rsid w:val="000C4027"/>
    <w:rsid w:val="000C63DB"/>
    <w:rsid w:val="000C6569"/>
    <w:rsid w:val="000D08CC"/>
    <w:rsid w:val="000D0C29"/>
    <w:rsid w:val="000D29A5"/>
    <w:rsid w:val="000D6ACF"/>
    <w:rsid w:val="000D727B"/>
    <w:rsid w:val="000D7652"/>
    <w:rsid w:val="000D783B"/>
    <w:rsid w:val="000D7CDE"/>
    <w:rsid w:val="000E4C34"/>
    <w:rsid w:val="000E6ED7"/>
    <w:rsid w:val="000E7EE7"/>
    <w:rsid w:val="00100A26"/>
    <w:rsid w:val="001045F0"/>
    <w:rsid w:val="00117112"/>
    <w:rsid w:val="001205EA"/>
    <w:rsid w:val="0012120A"/>
    <w:rsid w:val="001233F0"/>
    <w:rsid w:val="001235F2"/>
    <w:rsid w:val="0012717B"/>
    <w:rsid w:val="00130A06"/>
    <w:rsid w:val="0013267A"/>
    <w:rsid w:val="00134F8D"/>
    <w:rsid w:val="001362E9"/>
    <w:rsid w:val="00137473"/>
    <w:rsid w:val="00142E6F"/>
    <w:rsid w:val="001458AB"/>
    <w:rsid w:val="00150024"/>
    <w:rsid w:val="001509F9"/>
    <w:rsid w:val="00150B50"/>
    <w:rsid w:val="00153A1E"/>
    <w:rsid w:val="00154865"/>
    <w:rsid w:val="001557E3"/>
    <w:rsid w:val="00160D2E"/>
    <w:rsid w:val="00163E82"/>
    <w:rsid w:val="001648E0"/>
    <w:rsid w:val="001664FE"/>
    <w:rsid w:val="00167C21"/>
    <w:rsid w:val="001822FE"/>
    <w:rsid w:val="00183401"/>
    <w:rsid w:val="001865DA"/>
    <w:rsid w:val="001939C8"/>
    <w:rsid w:val="001957AD"/>
    <w:rsid w:val="00196276"/>
    <w:rsid w:val="00196279"/>
    <w:rsid w:val="0019717B"/>
    <w:rsid w:val="001A045D"/>
    <w:rsid w:val="001A0D81"/>
    <w:rsid w:val="001A381B"/>
    <w:rsid w:val="001A612C"/>
    <w:rsid w:val="001A6F78"/>
    <w:rsid w:val="001B0CCB"/>
    <w:rsid w:val="001B2461"/>
    <w:rsid w:val="001B7A69"/>
    <w:rsid w:val="001C39BD"/>
    <w:rsid w:val="001C65CE"/>
    <w:rsid w:val="001C77F1"/>
    <w:rsid w:val="001D2490"/>
    <w:rsid w:val="001D41E2"/>
    <w:rsid w:val="001D495A"/>
    <w:rsid w:val="001D4ABA"/>
    <w:rsid w:val="001D59C9"/>
    <w:rsid w:val="001D6CE7"/>
    <w:rsid w:val="001E23CB"/>
    <w:rsid w:val="001E245E"/>
    <w:rsid w:val="001E2C6F"/>
    <w:rsid w:val="001E50B5"/>
    <w:rsid w:val="001E6667"/>
    <w:rsid w:val="001E6BBA"/>
    <w:rsid w:val="001F1341"/>
    <w:rsid w:val="001F2786"/>
    <w:rsid w:val="001F7AE6"/>
    <w:rsid w:val="00202B72"/>
    <w:rsid w:val="00204BCF"/>
    <w:rsid w:val="002106F8"/>
    <w:rsid w:val="00211AF2"/>
    <w:rsid w:val="00213001"/>
    <w:rsid w:val="00234B4B"/>
    <w:rsid w:val="00241E6F"/>
    <w:rsid w:val="00244B64"/>
    <w:rsid w:val="00245841"/>
    <w:rsid w:val="00250140"/>
    <w:rsid w:val="002563EF"/>
    <w:rsid w:val="002623EC"/>
    <w:rsid w:val="00264296"/>
    <w:rsid w:val="002652AC"/>
    <w:rsid w:val="002730DC"/>
    <w:rsid w:val="0027402C"/>
    <w:rsid w:val="00274FC6"/>
    <w:rsid w:val="00277F8D"/>
    <w:rsid w:val="00281D52"/>
    <w:rsid w:val="00284CB3"/>
    <w:rsid w:val="00285A28"/>
    <w:rsid w:val="002875A2"/>
    <w:rsid w:val="00292B12"/>
    <w:rsid w:val="00293B60"/>
    <w:rsid w:val="002971A4"/>
    <w:rsid w:val="00297BB4"/>
    <w:rsid w:val="002A7199"/>
    <w:rsid w:val="002B0FEC"/>
    <w:rsid w:val="002B2584"/>
    <w:rsid w:val="002B666E"/>
    <w:rsid w:val="002B76A2"/>
    <w:rsid w:val="002C0192"/>
    <w:rsid w:val="002C4BD8"/>
    <w:rsid w:val="002D29C0"/>
    <w:rsid w:val="002D79CC"/>
    <w:rsid w:val="002F33E8"/>
    <w:rsid w:val="003074FB"/>
    <w:rsid w:val="0032594C"/>
    <w:rsid w:val="0033417B"/>
    <w:rsid w:val="0033543A"/>
    <w:rsid w:val="003401AD"/>
    <w:rsid w:val="00347C0D"/>
    <w:rsid w:val="00350993"/>
    <w:rsid w:val="00350BEB"/>
    <w:rsid w:val="003541B9"/>
    <w:rsid w:val="00354CAE"/>
    <w:rsid w:val="00357F82"/>
    <w:rsid w:val="00362F9B"/>
    <w:rsid w:val="00364D83"/>
    <w:rsid w:val="003700BA"/>
    <w:rsid w:val="003746EB"/>
    <w:rsid w:val="00376AEC"/>
    <w:rsid w:val="0038055D"/>
    <w:rsid w:val="00393A85"/>
    <w:rsid w:val="00395364"/>
    <w:rsid w:val="00395A55"/>
    <w:rsid w:val="003B1003"/>
    <w:rsid w:val="003B6094"/>
    <w:rsid w:val="003C0211"/>
    <w:rsid w:val="003C73B9"/>
    <w:rsid w:val="003D4115"/>
    <w:rsid w:val="003D4214"/>
    <w:rsid w:val="003D7ABD"/>
    <w:rsid w:val="003E51C9"/>
    <w:rsid w:val="003E5E5C"/>
    <w:rsid w:val="003E6816"/>
    <w:rsid w:val="003F2EC3"/>
    <w:rsid w:val="003F5C80"/>
    <w:rsid w:val="003F76C8"/>
    <w:rsid w:val="00404F71"/>
    <w:rsid w:val="00414DA0"/>
    <w:rsid w:val="00423569"/>
    <w:rsid w:val="0042683F"/>
    <w:rsid w:val="00427CAF"/>
    <w:rsid w:val="00431241"/>
    <w:rsid w:val="00440F32"/>
    <w:rsid w:val="004422CC"/>
    <w:rsid w:val="00442CDC"/>
    <w:rsid w:val="004448D1"/>
    <w:rsid w:val="00444F5A"/>
    <w:rsid w:val="00452B76"/>
    <w:rsid w:val="004538EE"/>
    <w:rsid w:val="00456DF7"/>
    <w:rsid w:val="00456F4A"/>
    <w:rsid w:val="0046142F"/>
    <w:rsid w:val="00463B56"/>
    <w:rsid w:val="00464999"/>
    <w:rsid w:val="00464D60"/>
    <w:rsid w:val="00473893"/>
    <w:rsid w:val="004743C3"/>
    <w:rsid w:val="00475B01"/>
    <w:rsid w:val="0047637D"/>
    <w:rsid w:val="00490073"/>
    <w:rsid w:val="00491458"/>
    <w:rsid w:val="0049506E"/>
    <w:rsid w:val="004977F1"/>
    <w:rsid w:val="004A08BB"/>
    <w:rsid w:val="004A70BD"/>
    <w:rsid w:val="004B0DE3"/>
    <w:rsid w:val="004B1B38"/>
    <w:rsid w:val="004B6ABA"/>
    <w:rsid w:val="004B71ED"/>
    <w:rsid w:val="004B797A"/>
    <w:rsid w:val="004D4BE0"/>
    <w:rsid w:val="004D7526"/>
    <w:rsid w:val="004E0BDC"/>
    <w:rsid w:val="004E1B46"/>
    <w:rsid w:val="004E4F4B"/>
    <w:rsid w:val="004F4322"/>
    <w:rsid w:val="00500E98"/>
    <w:rsid w:val="00504426"/>
    <w:rsid w:val="0050637B"/>
    <w:rsid w:val="00506F53"/>
    <w:rsid w:val="0051078C"/>
    <w:rsid w:val="00521B0A"/>
    <w:rsid w:val="00527154"/>
    <w:rsid w:val="005272E8"/>
    <w:rsid w:val="0053363B"/>
    <w:rsid w:val="0053449E"/>
    <w:rsid w:val="00537970"/>
    <w:rsid w:val="00541B93"/>
    <w:rsid w:val="005420D5"/>
    <w:rsid w:val="005423AC"/>
    <w:rsid w:val="0054556D"/>
    <w:rsid w:val="00546843"/>
    <w:rsid w:val="005513C7"/>
    <w:rsid w:val="00556778"/>
    <w:rsid w:val="00563ECE"/>
    <w:rsid w:val="00564E6B"/>
    <w:rsid w:val="00570972"/>
    <w:rsid w:val="00582691"/>
    <w:rsid w:val="00582C6A"/>
    <w:rsid w:val="00583355"/>
    <w:rsid w:val="00597BE0"/>
    <w:rsid w:val="00597C44"/>
    <w:rsid w:val="005A04CF"/>
    <w:rsid w:val="005A0A7C"/>
    <w:rsid w:val="005A210E"/>
    <w:rsid w:val="005A46B6"/>
    <w:rsid w:val="005A59BB"/>
    <w:rsid w:val="005A7000"/>
    <w:rsid w:val="005B1243"/>
    <w:rsid w:val="005B3EA6"/>
    <w:rsid w:val="005E06A8"/>
    <w:rsid w:val="005E1B64"/>
    <w:rsid w:val="005E2D1F"/>
    <w:rsid w:val="005E2DC1"/>
    <w:rsid w:val="005F1B0D"/>
    <w:rsid w:val="005F2BEE"/>
    <w:rsid w:val="005F39E8"/>
    <w:rsid w:val="00600780"/>
    <w:rsid w:val="00603EA6"/>
    <w:rsid w:val="00615715"/>
    <w:rsid w:val="00617470"/>
    <w:rsid w:val="00617492"/>
    <w:rsid w:val="0062160F"/>
    <w:rsid w:val="0063058A"/>
    <w:rsid w:val="00633FE6"/>
    <w:rsid w:val="0063406E"/>
    <w:rsid w:val="0063501F"/>
    <w:rsid w:val="00635192"/>
    <w:rsid w:val="00642540"/>
    <w:rsid w:val="00644216"/>
    <w:rsid w:val="006448CA"/>
    <w:rsid w:val="00644E7C"/>
    <w:rsid w:val="00650D5D"/>
    <w:rsid w:val="0065331D"/>
    <w:rsid w:val="006556CB"/>
    <w:rsid w:val="00656861"/>
    <w:rsid w:val="00666A71"/>
    <w:rsid w:val="00673F5F"/>
    <w:rsid w:val="00676D7C"/>
    <w:rsid w:val="00690806"/>
    <w:rsid w:val="0069459A"/>
    <w:rsid w:val="0069580F"/>
    <w:rsid w:val="006A0EE5"/>
    <w:rsid w:val="006A461B"/>
    <w:rsid w:val="006B3269"/>
    <w:rsid w:val="006B3381"/>
    <w:rsid w:val="006B5093"/>
    <w:rsid w:val="006C0AFE"/>
    <w:rsid w:val="006C2FCA"/>
    <w:rsid w:val="006C3639"/>
    <w:rsid w:val="006C4D81"/>
    <w:rsid w:val="006C6D83"/>
    <w:rsid w:val="006D64A0"/>
    <w:rsid w:val="006E2AEE"/>
    <w:rsid w:val="006E5699"/>
    <w:rsid w:val="006E772C"/>
    <w:rsid w:val="006F60F1"/>
    <w:rsid w:val="00710CAD"/>
    <w:rsid w:val="007125D4"/>
    <w:rsid w:val="007178DC"/>
    <w:rsid w:val="00722582"/>
    <w:rsid w:val="007234FD"/>
    <w:rsid w:val="00724725"/>
    <w:rsid w:val="00725425"/>
    <w:rsid w:val="00727C1D"/>
    <w:rsid w:val="007366AF"/>
    <w:rsid w:val="007401B9"/>
    <w:rsid w:val="00757685"/>
    <w:rsid w:val="007621E1"/>
    <w:rsid w:val="007623C6"/>
    <w:rsid w:val="007708FA"/>
    <w:rsid w:val="00776105"/>
    <w:rsid w:val="00776857"/>
    <w:rsid w:val="007803AD"/>
    <w:rsid w:val="0079011C"/>
    <w:rsid w:val="007906AD"/>
    <w:rsid w:val="00791930"/>
    <w:rsid w:val="00796497"/>
    <w:rsid w:val="00797CEA"/>
    <w:rsid w:val="007A039F"/>
    <w:rsid w:val="007A5F4B"/>
    <w:rsid w:val="007B1CD5"/>
    <w:rsid w:val="007B58E9"/>
    <w:rsid w:val="007C30A8"/>
    <w:rsid w:val="007C3A49"/>
    <w:rsid w:val="007C3E60"/>
    <w:rsid w:val="007C63BB"/>
    <w:rsid w:val="007D3E62"/>
    <w:rsid w:val="007D406A"/>
    <w:rsid w:val="007D76DF"/>
    <w:rsid w:val="007E0739"/>
    <w:rsid w:val="007E0E54"/>
    <w:rsid w:val="007E1566"/>
    <w:rsid w:val="007E2FF1"/>
    <w:rsid w:val="007E32B8"/>
    <w:rsid w:val="007F1C72"/>
    <w:rsid w:val="007F1D75"/>
    <w:rsid w:val="007F2D29"/>
    <w:rsid w:val="007F5274"/>
    <w:rsid w:val="00804727"/>
    <w:rsid w:val="00807414"/>
    <w:rsid w:val="00810A67"/>
    <w:rsid w:val="00822D80"/>
    <w:rsid w:val="00832AFF"/>
    <w:rsid w:val="00844E83"/>
    <w:rsid w:val="0084537E"/>
    <w:rsid w:val="008475D3"/>
    <w:rsid w:val="0085255A"/>
    <w:rsid w:val="0085445A"/>
    <w:rsid w:val="0086497F"/>
    <w:rsid w:val="0087216D"/>
    <w:rsid w:val="00872348"/>
    <w:rsid w:val="008869AE"/>
    <w:rsid w:val="0089741F"/>
    <w:rsid w:val="00897FB0"/>
    <w:rsid w:val="008A4919"/>
    <w:rsid w:val="008A5236"/>
    <w:rsid w:val="008A52D1"/>
    <w:rsid w:val="008A7112"/>
    <w:rsid w:val="008B4A62"/>
    <w:rsid w:val="008B59B8"/>
    <w:rsid w:val="008C1A58"/>
    <w:rsid w:val="008D31BA"/>
    <w:rsid w:val="008D73EC"/>
    <w:rsid w:val="008E2B18"/>
    <w:rsid w:val="008E2B52"/>
    <w:rsid w:val="008E3565"/>
    <w:rsid w:val="008E53AC"/>
    <w:rsid w:val="008F23D1"/>
    <w:rsid w:val="008F3F8E"/>
    <w:rsid w:val="00900870"/>
    <w:rsid w:val="009073B2"/>
    <w:rsid w:val="009142BB"/>
    <w:rsid w:val="00914A32"/>
    <w:rsid w:val="00914B4E"/>
    <w:rsid w:val="00916B74"/>
    <w:rsid w:val="00916C5B"/>
    <w:rsid w:val="00917351"/>
    <w:rsid w:val="00917B9A"/>
    <w:rsid w:val="009211E7"/>
    <w:rsid w:val="00921417"/>
    <w:rsid w:val="00922333"/>
    <w:rsid w:val="009367D2"/>
    <w:rsid w:val="00940AF6"/>
    <w:rsid w:val="009424C7"/>
    <w:rsid w:val="00942A37"/>
    <w:rsid w:val="00942A3E"/>
    <w:rsid w:val="0094517F"/>
    <w:rsid w:val="009501B8"/>
    <w:rsid w:val="00951723"/>
    <w:rsid w:val="00951EBD"/>
    <w:rsid w:val="009527AE"/>
    <w:rsid w:val="009554C8"/>
    <w:rsid w:val="00956011"/>
    <w:rsid w:val="009606AB"/>
    <w:rsid w:val="00965DD4"/>
    <w:rsid w:val="00975B72"/>
    <w:rsid w:val="00977214"/>
    <w:rsid w:val="00977A21"/>
    <w:rsid w:val="009A1739"/>
    <w:rsid w:val="009A2FD9"/>
    <w:rsid w:val="009A2FF9"/>
    <w:rsid w:val="009A3BFB"/>
    <w:rsid w:val="009B1D22"/>
    <w:rsid w:val="009C06C1"/>
    <w:rsid w:val="009D1A86"/>
    <w:rsid w:val="009D6A74"/>
    <w:rsid w:val="009E172D"/>
    <w:rsid w:val="009E565A"/>
    <w:rsid w:val="009F3D54"/>
    <w:rsid w:val="009F5A8E"/>
    <w:rsid w:val="009F7C29"/>
    <w:rsid w:val="00A04D4D"/>
    <w:rsid w:val="00A05AD5"/>
    <w:rsid w:val="00A116AA"/>
    <w:rsid w:val="00A2035D"/>
    <w:rsid w:val="00A20FD6"/>
    <w:rsid w:val="00A23084"/>
    <w:rsid w:val="00A237DC"/>
    <w:rsid w:val="00A3185E"/>
    <w:rsid w:val="00A32D38"/>
    <w:rsid w:val="00A40197"/>
    <w:rsid w:val="00A408AE"/>
    <w:rsid w:val="00A43088"/>
    <w:rsid w:val="00A43E1E"/>
    <w:rsid w:val="00A5016D"/>
    <w:rsid w:val="00A6115E"/>
    <w:rsid w:val="00A6378A"/>
    <w:rsid w:val="00A66A63"/>
    <w:rsid w:val="00A70A29"/>
    <w:rsid w:val="00A73233"/>
    <w:rsid w:val="00A73961"/>
    <w:rsid w:val="00A75BE1"/>
    <w:rsid w:val="00A76FE0"/>
    <w:rsid w:val="00A81E89"/>
    <w:rsid w:val="00A8204B"/>
    <w:rsid w:val="00A90B01"/>
    <w:rsid w:val="00A92D2F"/>
    <w:rsid w:val="00A947B1"/>
    <w:rsid w:val="00A94A44"/>
    <w:rsid w:val="00A95291"/>
    <w:rsid w:val="00A9604E"/>
    <w:rsid w:val="00A96E3C"/>
    <w:rsid w:val="00AA2342"/>
    <w:rsid w:val="00AA3306"/>
    <w:rsid w:val="00AA6536"/>
    <w:rsid w:val="00AB7743"/>
    <w:rsid w:val="00AC3655"/>
    <w:rsid w:val="00AC5383"/>
    <w:rsid w:val="00AD12D0"/>
    <w:rsid w:val="00AD2CB7"/>
    <w:rsid w:val="00AE5624"/>
    <w:rsid w:val="00AE5A09"/>
    <w:rsid w:val="00AF7D9F"/>
    <w:rsid w:val="00B03D3C"/>
    <w:rsid w:val="00B05723"/>
    <w:rsid w:val="00B10870"/>
    <w:rsid w:val="00B15D32"/>
    <w:rsid w:val="00B17D7C"/>
    <w:rsid w:val="00B20092"/>
    <w:rsid w:val="00B23E9D"/>
    <w:rsid w:val="00B25A62"/>
    <w:rsid w:val="00B30981"/>
    <w:rsid w:val="00B35D32"/>
    <w:rsid w:val="00B40A0A"/>
    <w:rsid w:val="00B513BA"/>
    <w:rsid w:val="00B60F3F"/>
    <w:rsid w:val="00B62239"/>
    <w:rsid w:val="00B652DA"/>
    <w:rsid w:val="00B673A6"/>
    <w:rsid w:val="00B73E36"/>
    <w:rsid w:val="00B75959"/>
    <w:rsid w:val="00B75E2B"/>
    <w:rsid w:val="00B8533E"/>
    <w:rsid w:val="00B91F9F"/>
    <w:rsid w:val="00B92A9B"/>
    <w:rsid w:val="00B9414E"/>
    <w:rsid w:val="00B945DB"/>
    <w:rsid w:val="00B948A1"/>
    <w:rsid w:val="00B979D4"/>
    <w:rsid w:val="00BB1134"/>
    <w:rsid w:val="00BB33B2"/>
    <w:rsid w:val="00BB75A0"/>
    <w:rsid w:val="00BC0781"/>
    <w:rsid w:val="00BC752D"/>
    <w:rsid w:val="00BD3FBF"/>
    <w:rsid w:val="00BD4336"/>
    <w:rsid w:val="00BE04BE"/>
    <w:rsid w:val="00BE0710"/>
    <w:rsid w:val="00BE1F17"/>
    <w:rsid w:val="00C0176B"/>
    <w:rsid w:val="00C04D5E"/>
    <w:rsid w:val="00C10925"/>
    <w:rsid w:val="00C11910"/>
    <w:rsid w:val="00C14C19"/>
    <w:rsid w:val="00C173D9"/>
    <w:rsid w:val="00C25AFA"/>
    <w:rsid w:val="00C26874"/>
    <w:rsid w:val="00C311CA"/>
    <w:rsid w:val="00C431DD"/>
    <w:rsid w:val="00C45146"/>
    <w:rsid w:val="00C52E3C"/>
    <w:rsid w:val="00C560D7"/>
    <w:rsid w:val="00C6151D"/>
    <w:rsid w:val="00C62EA1"/>
    <w:rsid w:val="00C65BEE"/>
    <w:rsid w:val="00C663A8"/>
    <w:rsid w:val="00C7026C"/>
    <w:rsid w:val="00C71327"/>
    <w:rsid w:val="00C716E9"/>
    <w:rsid w:val="00C76DC4"/>
    <w:rsid w:val="00C82475"/>
    <w:rsid w:val="00C854E0"/>
    <w:rsid w:val="00C9285D"/>
    <w:rsid w:val="00C962D1"/>
    <w:rsid w:val="00CA067F"/>
    <w:rsid w:val="00CB2BEA"/>
    <w:rsid w:val="00CB4B5D"/>
    <w:rsid w:val="00CB780C"/>
    <w:rsid w:val="00CC0F81"/>
    <w:rsid w:val="00CC595A"/>
    <w:rsid w:val="00CD3EBF"/>
    <w:rsid w:val="00CD55CB"/>
    <w:rsid w:val="00CD6B59"/>
    <w:rsid w:val="00CE5CB6"/>
    <w:rsid w:val="00CE7668"/>
    <w:rsid w:val="00CF32DC"/>
    <w:rsid w:val="00CF621A"/>
    <w:rsid w:val="00D02A54"/>
    <w:rsid w:val="00D0330F"/>
    <w:rsid w:val="00D035A8"/>
    <w:rsid w:val="00D065CC"/>
    <w:rsid w:val="00D075F7"/>
    <w:rsid w:val="00D10F5B"/>
    <w:rsid w:val="00D11C0E"/>
    <w:rsid w:val="00D13CB3"/>
    <w:rsid w:val="00D16047"/>
    <w:rsid w:val="00D1621E"/>
    <w:rsid w:val="00D16B84"/>
    <w:rsid w:val="00D319D7"/>
    <w:rsid w:val="00D42000"/>
    <w:rsid w:val="00D42840"/>
    <w:rsid w:val="00D44774"/>
    <w:rsid w:val="00D45346"/>
    <w:rsid w:val="00D5335C"/>
    <w:rsid w:val="00D57C24"/>
    <w:rsid w:val="00D630D9"/>
    <w:rsid w:val="00D6518E"/>
    <w:rsid w:val="00D734EC"/>
    <w:rsid w:val="00D75D34"/>
    <w:rsid w:val="00D76C82"/>
    <w:rsid w:val="00D84E72"/>
    <w:rsid w:val="00D853A6"/>
    <w:rsid w:val="00D868A7"/>
    <w:rsid w:val="00D87C87"/>
    <w:rsid w:val="00D90341"/>
    <w:rsid w:val="00D9041C"/>
    <w:rsid w:val="00D9065C"/>
    <w:rsid w:val="00D932F3"/>
    <w:rsid w:val="00D958D0"/>
    <w:rsid w:val="00D96723"/>
    <w:rsid w:val="00DA0A78"/>
    <w:rsid w:val="00DA1012"/>
    <w:rsid w:val="00DB01EB"/>
    <w:rsid w:val="00DB1E3D"/>
    <w:rsid w:val="00DB5729"/>
    <w:rsid w:val="00DB5EC8"/>
    <w:rsid w:val="00DD39B7"/>
    <w:rsid w:val="00DD4A68"/>
    <w:rsid w:val="00DE2392"/>
    <w:rsid w:val="00DE2688"/>
    <w:rsid w:val="00DE373A"/>
    <w:rsid w:val="00DE39E3"/>
    <w:rsid w:val="00DF1B0F"/>
    <w:rsid w:val="00E03BBB"/>
    <w:rsid w:val="00E06C9C"/>
    <w:rsid w:val="00E20A9D"/>
    <w:rsid w:val="00E27615"/>
    <w:rsid w:val="00E302DF"/>
    <w:rsid w:val="00E44C46"/>
    <w:rsid w:val="00E511AC"/>
    <w:rsid w:val="00E62210"/>
    <w:rsid w:val="00E630F3"/>
    <w:rsid w:val="00E6525E"/>
    <w:rsid w:val="00E6619E"/>
    <w:rsid w:val="00E671C9"/>
    <w:rsid w:val="00E7386B"/>
    <w:rsid w:val="00E80C1A"/>
    <w:rsid w:val="00E90AB1"/>
    <w:rsid w:val="00E92218"/>
    <w:rsid w:val="00E942AE"/>
    <w:rsid w:val="00E970DA"/>
    <w:rsid w:val="00EA1E93"/>
    <w:rsid w:val="00EA6136"/>
    <w:rsid w:val="00EA7C46"/>
    <w:rsid w:val="00EB1080"/>
    <w:rsid w:val="00EB2DE7"/>
    <w:rsid w:val="00EB45F4"/>
    <w:rsid w:val="00EB5AA9"/>
    <w:rsid w:val="00EC4A7C"/>
    <w:rsid w:val="00EC4B38"/>
    <w:rsid w:val="00EC6DCB"/>
    <w:rsid w:val="00EC7981"/>
    <w:rsid w:val="00ED1A51"/>
    <w:rsid w:val="00ED359A"/>
    <w:rsid w:val="00EE004F"/>
    <w:rsid w:val="00EE1FB4"/>
    <w:rsid w:val="00EE544B"/>
    <w:rsid w:val="00EE6A22"/>
    <w:rsid w:val="00EF33D3"/>
    <w:rsid w:val="00EF518E"/>
    <w:rsid w:val="00EF59F7"/>
    <w:rsid w:val="00EF5C73"/>
    <w:rsid w:val="00F01254"/>
    <w:rsid w:val="00F07CF3"/>
    <w:rsid w:val="00F12935"/>
    <w:rsid w:val="00F15646"/>
    <w:rsid w:val="00F15991"/>
    <w:rsid w:val="00F175D1"/>
    <w:rsid w:val="00F20A41"/>
    <w:rsid w:val="00F22533"/>
    <w:rsid w:val="00F24695"/>
    <w:rsid w:val="00F25CF5"/>
    <w:rsid w:val="00F26541"/>
    <w:rsid w:val="00F30F61"/>
    <w:rsid w:val="00F34781"/>
    <w:rsid w:val="00F42054"/>
    <w:rsid w:val="00F45B58"/>
    <w:rsid w:val="00F461B6"/>
    <w:rsid w:val="00F46CAE"/>
    <w:rsid w:val="00F527AE"/>
    <w:rsid w:val="00F530AD"/>
    <w:rsid w:val="00F569AF"/>
    <w:rsid w:val="00F6642B"/>
    <w:rsid w:val="00F915BC"/>
    <w:rsid w:val="00F92658"/>
    <w:rsid w:val="00F93FF8"/>
    <w:rsid w:val="00FA079F"/>
    <w:rsid w:val="00FA450F"/>
    <w:rsid w:val="00FA47FC"/>
    <w:rsid w:val="00FA58DA"/>
    <w:rsid w:val="00FB1BE8"/>
    <w:rsid w:val="00FB5DCE"/>
    <w:rsid w:val="00FC1A37"/>
    <w:rsid w:val="00FC51A5"/>
    <w:rsid w:val="00FC7173"/>
    <w:rsid w:val="00FD303A"/>
    <w:rsid w:val="00FD3F5B"/>
    <w:rsid w:val="00FD4B64"/>
    <w:rsid w:val="00FD6B41"/>
    <w:rsid w:val="00FE3AB7"/>
    <w:rsid w:val="00FE65DF"/>
    <w:rsid w:val="00FE7BDB"/>
    <w:rsid w:val="00FF07C4"/>
    <w:rsid w:val="00FF1F75"/>
    <w:rsid w:val="00FF276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035A8"/>
    <w:rPr>
      <w:sz w:val="24"/>
      <w:szCs w:val="24"/>
    </w:rPr>
  </w:style>
  <w:style w:type="paragraph" w:styleId="Nadpis4">
    <w:name w:val="heading 4"/>
    <w:basedOn w:val="Normln"/>
    <w:next w:val="Normln"/>
    <w:qFormat/>
    <w:pPr>
      <w:keepNext/>
      <w:tabs>
        <w:tab w:val="left" w:pos="9072"/>
      </w:tabs>
      <w:jc w:val="both"/>
      <w:outlineLvl w:val="3"/>
    </w:pPr>
    <w:rPr>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tabs>
        <w:tab w:val="left" w:pos="0"/>
      </w:tabs>
      <w:jc w:val="both"/>
    </w:pPr>
    <w:rPr>
      <w:sz w:val="20"/>
    </w:rPr>
  </w:style>
  <w:style w:type="paragraph" w:styleId="Zkladntext2">
    <w:name w:val="Body Text 2"/>
    <w:basedOn w:val="Normln"/>
    <w:link w:val="Zkladntext2Char"/>
    <w:pPr>
      <w:tabs>
        <w:tab w:val="left" w:pos="-284"/>
      </w:tabs>
      <w:jc w:val="both"/>
    </w:pPr>
    <w:rPr>
      <w:b/>
      <w:bCs/>
      <w:sz w:val="20"/>
    </w:rPr>
  </w:style>
  <w:style w:type="paragraph" w:styleId="Zkladntext3">
    <w:name w:val="Body Text 3"/>
    <w:basedOn w:val="Normln"/>
    <w:pPr>
      <w:autoSpaceDE w:val="0"/>
      <w:autoSpaceDN w:val="0"/>
      <w:adjustRightInd w:val="0"/>
      <w:jc w:val="both"/>
    </w:pPr>
    <w:rPr>
      <w:rFonts w:cs="Arial"/>
      <w:color w:val="000000"/>
      <w:sz w:val="19"/>
    </w:rPr>
  </w:style>
  <w:style w:type="character" w:customStyle="1" w:styleId="Psmoodstavce">
    <w:name w:val="Písmo odstavce"/>
    <w:rPr>
      <w:rFonts w:ascii="Arial" w:hAnsi="Arial"/>
      <w:sz w:val="24"/>
    </w:rPr>
  </w:style>
  <w:style w:type="paragraph" w:customStyle="1" w:styleId="Zkladntext31">
    <w:name w:val="Základní text 31"/>
    <w:basedOn w:val="Normln"/>
    <w:link w:val="BodyText3Char"/>
    <w:rPr>
      <w:b/>
      <w:sz w:val="20"/>
      <w:szCs w:val="20"/>
    </w:rPr>
  </w:style>
  <w:style w:type="paragraph" w:styleId="Textbubliny">
    <w:name w:val="Balloon Text"/>
    <w:basedOn w:val="Normln"/>
    <w:semiHidden/>
    <w:rsid w:val="00B15D32"/>
    <w:rPr>
      <w:rFonts w:ascii="Tahoma" w:hAnsi="Tahoma" w:cs="Tahoma"/>
      <w:sz w:val="16"/>
      <w:szCs w:val="16"/>
    </w:rPr>
  </w:style>
  <w:style w:type="character" w:customStyle="1" w:styleId="BodyText3Char">
    <w:name w:val="Body Text 3 Char"/>
    <w:link w:val="Zkladntext31"/>
    <w:rsid w:val="00440F32"/>
    <w:rPr>
      <w:b/>
      <w:lang w:val="cs-CZ" w:eastAsia="cs-CZ" w:bidi="ar-SA"/>
    </w:rPr>
  </w:style>
  <w:style w:type="paragraph" w:styleId="Datum">
    <w:name w:val="Date"/>
    <w:basedOn w:val="Normln"/>
    <w:next w:val="Normln"/>
    <w:link w:val="DatumChar"/>
    <w:rsid w:val="00440F32"/>
    <w:rPr>
      <w:rFonts w:ascii="Arial" w:hAnsi="Arial"/>
      <w:szCs w:val="20"/>
    </w:rPr>
  </w:style>
  <w:style w:type="character" w:customStyle="1" w:styleId="DatumChar">
    <w:name w:val="Datum Char"/>
    <w:link w:val="Datum"/>
    <w:locked/>
    <w:rsid w:val="00440F32"/>
    <w:rPr>
      <w:rFonts w:ascii="Arial" w:hAnsi="Arial"/>
      <w:sz w:val="24"/>
      <w:lang w:val="cs-CZ" w:eastAsia="cs-CZ" w:bidi="ar-SA"/>
    </w:rPr>
  </w:style>
  <w:style w:type="paragraph" w:styleId="Zhlav">
    <w:name w:val="header"/>
    <w:basedOn w:val="Normln"/>
    <w:link w:val="ZhlavChar"/>
    <w:rsid w:val="00C71327"/>
    <w:pPr>
      <w:tabs>
        <w:tab w:val="center" w:pos="4536"/>
        <w:tab w:val="right" w:pos="9072"/>
      </w:tabs>
    </w:pPr>
  </w:style>
  <w:style w:type="character" w:customStyle="1" w:styleId="ZhlavChar">
    <w:name w:val="Záhlaví Char"/>
    <w:link w:val="Zhlav"/>
    <w:rsid w:val="00C71327"/>
    <w:rPr>
      <w:sz w:val="24"/>
      <w:szCs w:val="24"/>
    </w:rPr>
  </w:style>
  <w:style w:type="paragraph" w:styleId="Zpat">
    <w:name w:val="footer"/>
    <w:basedOn w:val="Normln"/>
    <w:link w:val="ZpatChar"/>
    <w:uiPriority w:val="99"/>
    <w:rsid w:val="00C71327"/>
    <w:pPr>
      <w:tabs>
        <w:tab w:val="center" w:pos="4536"/>
        <w:tab w:val="right" w:pos="9072"/>
      </w:tabs>
    </w:pPr>
  </w:style>
  <w:style w:type="character" w:customStyle="1" w:styleId="ZpatChar">
    <w:name w:val="Zápatí Char"/>
    <w:link w:val="Zpat"/>
    <w:uiPriority w:val="99"/>
    <w:rsid w:val="00C71327"/>
    <w:rPr>
      <w:sz w:val="24"/>
      <w:szCs w:val="24"/>
    </w:rPr>
  </w:style>
  <w:style w:type="paragraph" w:customStyle="1" w:styleId="Default">
    <w:name w:val="Default"/>
    <w:rsid w:val="007E1566"/>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1E6BBA"/>
    <w:pPr>
      <w:ind w:left="720"/>
      <w:contextualSpacing/>
    </w:pPr>
  </w:style>
  <w:style w:type="paragraph" w:customStyle="1" w:styleId="PVNormal">
    <w:name w:val="PVNormal"/>
    <w:basedOn w:val="Normln"/>
    <w:rsid w:val="008D31BA"/>
    <w:rPr>
      <w:rFonts w:ascii="Arial" w:hAnsi="Arial"/>
    </w:rPr>
  </w:style>
  <w:style w:type="character" w:customStyle="1" w:styleId="ZkladntextChar">
    <w:name w:val="Základní text Char"/>
    <w:basedOn w:val="Standardnpsmoodstavce"/>
    <w:link w:val="Zkladntext"/>
    <w:rsid w:val="002563EF"/>
    <w:rPr>
      <w:szCs w:val="24"/>
    </w:rPr>
  </w:style>
  <w:style w:type="table" w:styleId="Mkatabulky">
    <w:name w:val="Table Grid"/>
    <w:basedOn w:val="Normlntabulka"/>
    <w:uiPriority w:val="59"/>
    <w:rsid w:val="0035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
    <w:name w:val="Základní text 2 Char"/>
    <w:basedOn w:val="Standardnpsmoodstavce"/>
    <w:link w:val="Zkladntext2"/>
    <w:rsid w:val="00B8533E"/>
    <w:rPr>
      <w:b/>
      <w:bCs/>
      <w:szCs w:val="24"/>
    </w:rPr>
  </w:style>
  <w:style w:type="paragraph" w:styleId="Bezmezer">
    <w:name w:val="No Spacing"/>
    <w:uiPriority w:val="1"/>
    <w:qFormat/>
    <w:rsid w:val="00F530AD"/>
    <w:rPr>
      <w:rFonts w:ascii="Arial" w:hAnsi="Arial"/>
      <w:sz w:val="24"/>
    </w:rPr>
  </w:style>
  <w:style w:type="character" w:styleId="Siln">
    <w:name w:val="Strong"/>
    <w:uiPriority w:val="22"/>
    <w:qFormat/>
    <w:rsid w:val="00F530AD"/>
    <w:rPr>
      <w:rFonts w:ascii="Arial" w:hAnsi="Arial"/>
      <w:b/>
      <w:sz w:val="24"/>
      <w:vertAlign w:val="baseline"/>
    </w:rPr>
  </w:style>
  <w:style w:type="paragraph" w:customStyle="1" w:styleId="NormlnIMP">
    <w:name w:val="Normální_IMP"/>
    <w:basedOn w:val="Normln"/>
    <w:rsid w:val="00F530AD"/>
    <w:pPr>
      <w:suppressAutoHyphens/>
      <w:overflowPunct w:val="0"/>
      <w:autoSpaceDE w:val="0"/>
      <w:autoSpaceDN w:val="0"/>
      <w:adjustRightInd w:val="0"/>
      <w:spacing w:line="228" w:lineRule="auto"/>
      <w:jc w:val="both"/>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035A8"/>
    <w:rPr>
      <w:sz w:val="24"/>
      <w:szCs w:val="24"/>
    </w:rPr>
  </w:style>
  <w:style w:type="paragraph" w:styleId="Nadpis4">
    <w:name w:val="heading 4"/>
    <w:basedOn w:val="Normln"/>
    <w:next w:val="Normln"/>
    <w:qFormat/>
    <w:pPr>
      <w:keepNext/>
      <w:tabs>
        <w:tab w:val="left" w:pos="9072"/>
      </w:tabs>
      <w:jc w:val="both"/>
      <w:outlineLvl w:val="3"/>
    </w:pPr>
    <w:rPr>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tabs>
        <w:tab w:val="left" w:pos="0"/>
      </w:tabs>
      <w:jc w:val="both"/>
    </w:pPr>
    <w:rPr>
      <w:sz w:val="20"/>
    </w:rPr>
  </w:style>
  <w:style w:type="paragraph" w:styleId="Zkladntext2">
    <w:name w:val="Body Text 2"/>
    <w:basedOn w:val="Normln"/>
    <w:link w:val="Zkladntext2Char"/>
    <w:pPr>
      <w:tabs>
        <w:tab w:val="left" w:pos="-284"/>
      </w:tabs>
      <w:jc w:val="both"/>
    </w:pPr>
    <w:rPr>
      <w:b/>
      <w:bCs/>
      <w:sz w:val="20"/>
    </w:rPr>
  </w:style>
  <w:style w:type="paragraph" w:styleId="Zkladntext3">
    <w:name w:val="Body Text 3"/>
    <w:basedOn w:val="Normln"/>
    <w:pPr>
      <w:autoSpaceDE w:val="0"/>
      <w:autoSpaceDN w:val="0"/>
      <w:adjustRightInd w:val="0"/>
      <w:jc w:val="both"/>
    </w:pPr>
    <w:rPr>
      <w:rFonts w:cs="Arial"/>
      <w:color w:val="000000"/>
      <w:sz w:val="19"/>
    </w:rPr>
  </w:style>
  <w:style w:type="character" w:customStyle="1" w:styleId="Psmoodstavce">
    <w:name w:val="Písmo odstavce"/>
    <w:rPr>
      <w:rFonts w:ascii="Arial" w:hAnsi="Arial"/>
      <w:sz w:val="24"/>
    </w:rPr>
  </w:style>
  <w:style w:type="paragraph" w:customStyle="1" w:styleId="Zkladntext31">
    <w:name w:val="Základní text 31"/>
    <w:basedOn w:val="Normln"/>
    <w:link w:val="BodyText3Char"/>
    <w:rPr>
      <w:b/>
      <w:sz w:val="20"/>
      <w:szCs w:val="20"/>
    </w:rPr>
  </w:style>
  <w:style w:type="paragraph" w:styleId="Textbubliny">
    <w:name w:val="Balloon Text"/>
    <w:basedOn w:val="Normln"/>
    <w:semiHidden/>
    <w:rsid w:val="00B15D32"/>
    <w:rPr>
      <w:rFonts w:ascii="Tahoma" w:hAnsi="Tahoma" w:cs="Tahoma"/>
      <w:sz w:val="16"/>
      <w:szCs w:val="16"/>
    </w:rPr>
  </w:style>
  <w:style w:type="character" w:customStyle="1" w:styleId="BodyText3Char">
    <w:name w:val="Body Text 3 Char"/>
    <w:link w:val="Zkladntext31"/>
    <w:rsid w:val="00440F32"/>
    <w:rPr>
      <w:b/>
      <w:lang w:val="cs-CZ" w:eastAsia="cs-CZ" w:bidi="ar-SA"/>
    </w:rPr>
  </w:style>
  <w:style w:type="paragraph" w:styleId="Datum">
    <w:name w:val="Date"/>
    <w:basedOn w:val="Normln"/>
    <w:next w:val="Normln"/>
    <w:link w:val="DatumChar"/>
    <w:rsid w:val="00440F32"/>
    <w:rPr>
      <w:rFonts w:ascii="Arial" w:hAnsi="Arial"/>
      <w:szCs w:val="20"/>
    </w:rPr>
  </w:style>
  <w:style w:type="character" w:customStyle="1" w:styleId="DatumChar">
    <w:name w:val="Datum Char"/>
    <w:link w:val="Datum"/>
    <w:locked/>
    <w:rsid w:val="00440F32"/>
    <w:rPr>
      <w:rFonts w:ascii="Arial" w:hAnsi="Arial"/>
      <w:sz w:val="24"/>
      <w:lang w:val="cs-CZ" w:eastAsia="cs-CZ" w:bidi="ar-SA"/>
    </w:rPr>
  </w:style>
  <w:style w:type="paragraph" w:styleId="Zhlav">
    <w:name w:val="header"/>
    <w:basedOn w:val="Normln"/>
    <w:link w:val="ZhlavChar"/>
    <w:rsid w:val="00C71327"/>
    <w:pPr>
      <w:tabs>
        <w:tab w:val="center" w:pos="4536"/>
        <w:tab w:val="right" w:pos="9072"/>
      </w:tabs>
    </w:pPr>
  </w:style>
  <w:style w:type="character" w:customStyle="1" w:styleId="ZhlavChar">
    <w:name w:val="Záhlaví Char"/>
    <w:link w:val="Zhlav"/>
    <w:rsid w:val="00C71327"/>
    <w:rPr>
      <w:sz w:val="24"/>
      <w:szCs w:val="24"/>
    </w:rPr>
  </w:style>
  <w:style w:type="paragraph" w:styleId="Zpat">
    <w:name w:val="footer"/>
    <w:basedOn w:val="Normln"/>
    <w:link w:val="ZpatChar"/>
    <w:uiPriority w:val="99"/>
    <w:rsid w:val="00C71327"/>
    <w:pPr>
      <w:tabs>
        <w:tab w:val="center" w:pos="4536"/>
        <w:tab w:val="right" w:pos="9072"/>
      </w:tabs>
    </w:pPr>
  </w:style>
  <w:style w:type="character" w:customStyle="1" w:styleId="ZpatChar">
    <w:name w:val="Zápatí Char"/>
    <w:link w:val="Zpat"/>
    <w:uiPriority w:val="99"/>
    <w:rsid w:val="00C71327"/>
    <w:rPr>
      <w:sz w:val="24"/>
      <w:szCs w:val="24"/>
    </w:rPr>
  </w:style>
  <w:style w:type="paragraph" w:customStyle="1" w:styleId="Default">
    <w:name w:val="Default"/>
    <w:rsid w:val="007E1566"/>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1E6BBA"/>
    <w:pPr>
      <w:ind w:left="720"/>
      <w:contextualSpacing/>
    </w:pPr>
  </w:style>
  <w:style w:type="paragraph" w:customStyle="1" w:styleId="PVNormal">
    <w:name w:val="PVNormal"/>
    <w:basedOn w:val="Normln"/>
    <w:rsid w:val="008D31BA"/>
    <w:rPr>
      <w:rFonts w:ascii="Arial" w:hAnsi="Arial"/>
    </w:rPr>
  </w:style>
  <w:style w:type="character" w:customStyle="1" w:styleId="ZkladntextChar">
    <w:name w:val="Základní text Char"/>
    <w:basedOn w:val="Standardnpsmoodstavce"/>
    <w:link w:val="Zkladntext"/>
    <w:rsid w:val="002563EF"/>
    <w:rPr>
      <w:szCs w:val="24"/>
    </w:rPr>
  </w:style>
  <w:style w:type="table" w:styleId="Mkatabulky">
    <w:name w:val="Table Grid"/>
    <w:basedOn w:val="Normlntabulka"/>
    <w:uiPriority w:val="59"/>
    <w:rsid w:val="0035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
    <w:name w:val="Základní text 2 Char"/>
    <w:basedOn w:val="Standardnpsmoodstavce"/>
    <w:link w:val="Zkladntext2"/>
    <w:rsid w:val="00B8533E"/>
    <w:rPr>
      <w:b/>
      <w:bCs/>
      <w:szCs w:val="24"/>
    </w:rPr>
  </w:style>
  <w:style w:type="paragraph" w:styleId="Bezmezer">
    <w:name w:val="No Spacing"/>
    <w:uiPriority w:val="1"/>
    <w:qFormat/>
    <w:rsid w:val="00F530AD"/>
    <w:rPr>
      <w:rFonts w:ascii="Arial" w:hAnsi="Arial"/>
      <w:sz w:val="24"/>
    </w:rPr>
  </w:style>
  <w:style w:type="character" w:styleId="Siln">
    <w:name w:val="Strong"/>
    <w:uiPriority w:val="22"/>
    <w:qFormat/>
    <w:rsid w:val="00F530AD"/>
    <w:rPr>
      <w:rFonts w:ascii="Arial" w:hAnsi="Arial"/>
      <w:b/>
      <w:sz w:val="24"/>
      <w:vertAlign w:val="baseline"/>
    </w:rPr>
  </w:style>
  <w:style w:type="paragraph" w:customStyle="1" w:styleId="NormlnIMP">
    <w:name w:val="Normální_IMP"/>
    <w:basedOn w:val="Normln"/>
    <w:rsid w:val="00F530AD"/>
    <w:pPr>
      <w:suppressAutoHyphens/>
      <w:overflowPunct w:val="0"/>
      <w:autoSpaceDE w:val="0"/>
      <w:autoSpaceDN w:val="0"/>
      <w:adjustRightInd w:val="0"/>
      <w:spacing w:line="228" w:lineRule="auto"/>
      <w:jc w:val="both"/>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4702">
      <w:bodyDiv w:val="1"/>
      <w:marLeft w:val="0"/>
      <w:marRight w:val="0"/>
      <w:marTop w:val="0"/>
      <w:marBottom w:val="0"/>
      <w:divBdr>
        <w:top w:val="none" w:sz="0" w:space="0" w:color="auto"/>
        <w:left w:val="none" w:sz="0" w:space="0" w:color="auto"/>
        <w:bottom w:val="none" w:sz="0" w:space="0" w:color="auto"/>
        <w:right w:val="none" w:sz="0" w:space="0" w:color="auto"/>
      </w:divBdr>
    </w:div>
    <w:div w:id="130709164">
      <w:bodyDiv w:val="1"/>
      <w:marLeft w:val="0"/>
      <w:marRight w:val="0"/>
      <w:marTop w:val="0"/>
      <w:marBottom w:val="0"/>
      <w:divBdr>
        <w:top w:val="none" w:sz="0" w:space="0" w:color="auto"/>
        <w:left w:val="none" w:sz="0" w:space="0" w:color="auto"/>
        <w:bottom w:val="none" w:sz="0" w:space="0" w:color="auto"/>
        <w:right w:val="none" w:sz="0" w:space="0" w:color="auto"/>
      </w:divBdr>
    </w:div>
    <w:div w:id="537091356">
      <w:bodyDiv w:val="1"/>
      <w:marLeft w:val="0"/>
      <w:marRight w:val="0"/>
      <w:marTop w:val="0"/>
      <w:marBottom w:val="0"/>
      <w:divBdr>
        <w:top w:val="none" w:sz="0" w:space="0" w:color="auto"/>
        <w:left w:val="none" w:sz="0" w:space="0" w:color="auto"/>
        <w:bottom w:val="none" w:sz="0" w:space="0" w:color="auto"/>
        <w:right w:val="none" w:sz="0" w:space="0" w:color="auto"/>
      </w:divBdr>
    </w:div>
    <w:div w:id="645359889">
      <w:bodyDiv w:val="1"/>
      <w:marLeft w:val="0"/>
      <w:marRight w:val="0"/>
      <w:marTop w:val="0"/>
      <w:marBottom w:val="0"/>
      <w:divBdr>
        <w:top w:val="none" w:sz="0" w:space="0" w:color="auto"/>
        <w:left w:val="none" w:sz="0" w:space="0" w:color="auto"/>
        <w:bottom w:val="none" w:sz="0" w:space="0" w:color="auto"/>
        <w:right w:val="none" w:sz="0" w:space="0" w:color="auto"/>
      </w:divBdr>
    </w:div>
    <w:div w:id="674040486">
      <w:bodyDiv w:val="1"/>
      <w:marLeft w:val="0"/>
      <w:marRight w:val="0"/>
      <w:marTop w:val="0"/>
      <w:marBottom w:val="0"/>
      <w:divBdr>
        <w:top w:val="none" w:sz="0" w:space="0" w:color="auto"/>
        <w:left w:val="none" w:sz="0" w:space="0" w:color="auto"/>
        <w:bottom w:val="none" w:sz="0" w:space="0" w:color="auto"/>
        <w:right w:val="none" w:sz="0" w:space="0" w:color="auto"/>
      </w:divBdr>
    </w:div>
    <w:div w:id="877665014">
      <w:bodyDiv w:val="1"/>
      <w:marLeft w:val="0"/>
      <w:marRight w:val="0"/>
      <w:marTop w:val="0"/>
      <w:marBottom w:val="0"/>
      <w:divBdr>
        <w:top w:val="none" w:sz="0" w:space="0" w:color="auto"/>
        <w:left w:val="none" w:sz="0" w:space="0" w:color="auto"/>
        <w:bottom w:val="none" w:sz="0" w:space="0" w:color="auto"/>
        <w:right w:val="none" w:sz="0" w:space="0" w:color="auto"/>
      </w:divBdr>
    </w:div>
    <w:div w:id="890774432">
      <w:bodyDiv w:val="1"/>
      <w:marLeft w:val="0"/>
      <w:marRight w:val="0"/>
      <w:marTop w:val="0"/>
      <w:marBottom w:val="0"/>
      <w:divBdr>
        <w:top w:val="none" w:sz="0" w:space="0" w:color="auto"/>
        <w:left w:val="none" w:sz="0" w:space="0" w:color="auto"/>
        <w:bottom w:val="none" w:sz="0" w:space="0" w:color="auto"/>
        <w:right w:val="none" w:sz="0" w:space="0" w:color="auto"/>
      </w:divBdr>
    </w:div>
    <w:div w:id="945191352">
      <w:bodyDiv w:val="1"/>
      <w:marLeft w:val="0"/>
      <w:marRight w:val="0"/>
      <w:marTop w:val="0"/>
      <w:marBottom w:val="0"/>
      <w:divBdr>
        <w:top w:val="none" w:sz="0" w:space="0" w:color="auto"/>
        <w:left w:val="none" w:sz="0" w:space="0" w:color="auto"/>
        <w:bottom w:val="none" w:sz="0" w:space="0" w:color="auto"/>
        <w:right w:val="none" w:sz="0" w:space="0" w:color="auto"/>
      </w:divBdr>
    </w:div>
    <w:div w:id="983703473">
      <w:bodyDiv w:val="1"/>
      <w:marLeft w:val="0"/>
      <w:marRight w:val="0"/>
      <w:marTop w:val="0"/>
      <w:marBottom w:val="0"/>
      <w:divBdr>
        <w:top w:val="none" w:sz="0" w:space="0" w:color="auto"/>
        <w:left w:val="none" w:sz="0" w:space="0" w:color="auto"/>
        <w:bottom w:val="none" w:sz="0" w:space="0" w:color="auto"/>
        <w:right w:val="none" w:sz="0" w:space="0" w:color="auto"/>
      </w:divBdr>
    </w:div>
    <w:div w:id="1166944890">
      <w:bodyDiv w:val="1"/>
      <w:marLeft w:val="0"/>
      <w:marRight w:val="0"/>
      <w:marTop w:val="0"/>
      <w:marBottom w:val="0"/>
      <w:divBdr>
        <w:top w:val="none" w:sz="0" w:space="0" w:color="auto"/>
        <w:left w:val="none" w:sz="0" w:space="0" w:color="auto"/>
        <w:bottom w:val="none" w:sz="0" w:space="0" w:color="auto"/>
        <w:right w:val="none" w:sz="0" w:space="0" w:color="auto"/>
      </w:divBdr>
    </w:div>
    <w:div w:id="1281571180">
      <w:bodyDiv w:val="1"/>
      <w:marLeft w:val="0"/>
      <w:marRight w:val="0"/>
      <w:marTop w:val="0"/>
      <w:marBottom w:val="0"/>
      <w:divBdr>
        <w:top w:val="none" w:sz="0" w:space="0" w:color="auto"/>
        <w:left w:val="none" w:sz="0" w:space="0" w:color="auto"/>
        <w:bottom w:val="none" w:sz="0" w:space="0" w:color="auto"/>
        <w:right w:val="none" w:sz="0" w:space="0" w:color="auto"/>
      </w:divBdr>
    </w:div>
    <w:div w:id="1354070695">
      <w:bodyDiv w:val="1"/>
      <w:marLeft w:val="0"/>
      <w:marRight w:val="0"/>
      <w:marTop w:val="0"/>
      <w:marBottom w:val="0"/>
      <w:divBdr>
        <w:top w:val="none" w:sz="0" w:space="0" w:color="auto"/>
        <w:left w:val="none" w:sz="0" w:space="0" w:color="auto"/>
        <w:bottom w:val="none" w:sz="0" w:space="0" w:color="auto"/>
        <w:right w:val="none" w:sz="0" w:space="0" w:color="auto"/>
      </w:divBdr>
    </w:div>
    <w:div w:id="1420835428">
      <w:bodyDiv w:val="1"/>
      <w:marLeft w:val="0"/>
      <w:marRight w:val="0"/>
      <w:marTop w:val="0"/>
      <w:marBottom w:val="0"/>
      <w:divBdr>
        <w:top w:val="none" w:sz="0" w:space="0" w:color="auto"/>
        <w:left w:val="none" w:sz="0" w:space="0" w:color="auto"/>
        <w:bottom w:val="none" w:sz="0" w:space="0" w:color="auto"/>
        <w:right w:val="none" w:sz="0" w:space="0" w:color="auto"/>
      </w:divBdr>
    </w:div>
    <w:div w:id="1422723052">
      <w:bodyDiv w:val="1"/>
      <w:marLeft w:val="0"/>
      <w:marRight w:val="0"/>
      <w:marTop w:val="0"/>
      <w:marBottom w:val="0"/>
      <w:divBdr>
        <w:top w:val="none" w:sz="0" w:space="0" w:color="auto"/>
        <w:left w:val="none" w:sz="0" w:space="0" w:color="auto"/>
        <w:bottom w:val="none" w:sz="0" w:space="0" w:color="auto"/>
        <w:right w:val="none" w:sz="0" w:space="0" w:color="auto"/>
      </w:divBdr>
    </w:div>
    <w:div w:id="1449934172">
      <w:bodyDiv w:val="1"/>
      <w:marLeft w:val="0"/>
      <w:marRight w:val="0"/>
      <w:marTop w:val="0"/>
      <w:marBottom w:val="0"/>
      <w:divBdr>
        <w:top w:val="none" w:sz="0" w:space="0" w:color="auto"/>
        <w:left w:val="none" w:sz="0" w:space="0" w:color="auto"/>
        <w:bottom w:val="none" w:sz="0" w:space="0" w:color="auto"/>
        <w:right w:val="none" w:sz="0" w:space="0" w:color="auto"/>
      </w:divBdr>
    </w:div>
    <w:div w:id="1477063319">
      <w:bodyDiv w:val="1"/>
      <w:marLeft w:val="0"/>
      <w:marRight w:val="0"/>
      <w:marTop w:val="0"/>
      <w:marBottom w:val="0"/>
      <w:divBdr>
        <w:top w:val="none" w:sz="0" w:space="0" w:color="auto"/>
        <w:left w:val="none" w:sz="0" w:space="0" w:color="auto"/>
        <w:bottom w:val="none" w:sz="0" w:space="0" w:color="auto"/>
        <w:right w:val="none" w:sz="0" w:space="0" w:color="auto"/>
      </w:divBdr>
    </w:div>
    <w:div w:id="1528643841">
      <w:bodyDiv w:val="1"/>
      <w:marLeft w:val="0"/>
      <w:marRight w:val="0"/>
      <w:marTop w:val="0"/>
      <w:marBottom w:val="0"/>
      <w:divBdr>
        <w:top w:val="none" w:sz="0" w:space="0" w:color="auto"/>
        <w:left w:val="none" w:sz="0" w:space="0" w:color="auto"/>
        <w:bottom w:val="none" w:sz="0" w:space="0" w:color="auto"/>
        <w:right w:val="none" w:sz="0" w:space="0" w:color="auto"/>
      </w:divBdr>
    </w:div>
    <w:div w:id="1607149575">
      <w:bodyDiv w:val="1"/>
      <w:marLeft w:val="0"/>
      <w:marRight w:val="0"/>
      <w:marTop w:val="0"/>
      <w:marBottom w:val="0"/>
      <w:divBdr>
        <w:top w:val="none" w:sz="0" w:space="0" w:color="auto"/>
        <w:left w:val="none" w:sz="0" w:space="0" w:color="auto"/>
        <w:bottom w:val="none" w:sz="0" w:space="0" w:color="auto"/>
        <w:right w:val="none" w:sz="0" w:space="0" w:color="auto"/>
      </w:divBdr>
    </w:div>
    <w:div w:id="1665695430">
      <w:bodyDiv w:val="1"/>
      <w:marLeft w:val="0"/>
      <w:marRight w:val="0"/>
      <w:marTop w:val="0"/>
      <w:marBottom w:val="0"/>
      <w:divBdr>
        <w:top w:val="none" w:sz="0" w:space="0" w:color="auto"/>
        <w:left w:val="none" w:sz="0" w:space="0" w:color="auto"/>
        <w:bottom w:val="none" w:sz="0" w:space="0" w:color="auto"/>
        <w:right w:val="none" w:sz="0" w:space="0" w:color="auto"/>
      </w:divBdr>
    </w:div>
    <w:div w:id="1778402841">
      <w:bodyDiv w:val="1"/>
      <w:marLeft w:val="0"/>
      <w:marRight w:val="0"/>
      <w:marTop w:val="0"/>
      <w:marBottom w:val="0"/>
      <w:divBdr>
        <w:top w:val="none" w:sz="0" w:space="0" w:color="auto"/>
        <w:left w:val="none" w:sz="0" w:space="0" w:color="auto"/>
        <w:bottom w:val="none" w:sz="0" w:space="0" w:color="auto"/>
        <w:right w:val="none" w:sz="0" w:space="0" w:color="auto"/>
      </w:divBdr>
    </w:div>
    <w:div w:id="1789936339">
      <w:bodyDiv w:val="1"/>
      <w:marLeft w:val="0"/>
      <w:marRight w:val="0"/>
      <w:marTop w:val="0"/>
      <w:marBottom w:val="0"/>
      <w:divBdr>
        <w:top w:val="none" w:sz="0" w:space="0" w:color="auto"/>
        <w:left w:val="none" w:sz="0" w:space="0" w:color="auto"/>
        <w:bottom w:val="none" w:sz="0" w:space="0" w:color="auto"/>
        <w:right w:val="none" w:sz="0" w:space="0" w:color="auto"/>
      </w:divBdr>
    </w:div>
    <w:div w:id="1809856520">
      <w:bodyDiv w:val="1"/>
      <w:marLeft w:val="0"/>
      <w:marRight w:val="0"/>
      <w:marTop w:val="0"/>
      <w:marBottom w:val="0"/>
      <w:divBdr>
        <w:top w:val="none" w:sz="0" w:space="0" w:color="auto"/>
        <w:left w:val="none" w:sz="0" w:space="0" w:color="auto"/>
        <w:bottom w:val="none" w:sz="0" w:space="0" w:color="auto"/>
        <w:right w:val="none" w:sz="0" w:space="0" w:color="auto"/>
      </w:divBdr>
    </w:div>
    <w:div w:id="1899853440">
      <w:bodyDiv w:val="1"/>
      <w:marLeft w:val="0"/>
      <w:marRight w:val="0"/>
      <w:marTop w:val="0"/>
      <w:marBottom w:val="0"/>
      <w:divBdr>
        <w:top w:val="none" w:sz="0" w:space="0" w:color="auto"/>
        <w:left w:val="none" w:sz="0" w:space="0" w:color="auto"/>
        <w:bottom w:val="none" w:sz="0" w:space="0" w:color="auto"/>
        <w:right w:val="none" w:sz="0" w:space="0" w:color="auto"/>
      </w:divBdr>
    </w:div>
    <w:div w:id="1904676626">
      <w:bodyDiv w:val="1"/>
      <w:marLeft w:val="0"/>
      <w:marRight w:val="0"/>
      <w:marTop w:val="0"/>
      <w:marBottom w:val="0"/>
      <w:divBdr>
        <w:top w:val="none" w:sz="0" w:space="0" w:color="auto"/>
        <w:left w:val="none" w:sz="0" w:space="0" w:color="auto"/>
        <w:bottom w:val="none" w:sz="0" w:space="0" w:color="auto"/>
        <w:right w:val="none" w:sz="0" w:space="0" w:color="auto"/>
      </w:divBdr>
    </w:div>
    <w:div w:id="1946964878">
      <w:bodyDiv w:val="1"/>
      <w:marLeft w:val="0"/>
      <w:marRight w:val="0"/>
      <w:marTop w:val="0"/>
      <w:marBottom w:val="0"/>
      <w:divBdr>
        <w:top w:val="none" w:sz="0" w:space="0" w:color="auto"/>
        <w:left w:val="none" w:sz="0" w:space="0" w:color="auto"/>
        <w:bottom w:val="none" w:sz="0" w:space="0" w:color="auto"/>
        <w:right w:val="none" w:sz="0" w:space="0" w:color="auto"/>
      </w:divBdr>
    </w:div>
    <w:div w:id="2048293077">
      <w:bodyDiv w:val="1"/>
      <w:marLeft w:val="0"/>
      <w:marRight w:val="0"/>
      <w:marTop w:val="0"/>
      <w:marBottom w:val="0"/>
      <w:divBdr>
        <w:top w:val="none" w:sz="0" w:space="0" w:color="auto"/>
        <w:left w:val="none" w:sz="0" w:space="0" w:color="auto"/>
        <w:bottom w:val="none" w:sz="0" w:space="0" w:color="auto"/>
        <w:right w:val="none" w:sz="0" w:space="0" w:color="auto"/>
      </w:divBdr>
    </w:div>
    <w:div w:id="214454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oleObject" Target="embeddings/oleObject13.bin"/><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5.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1.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e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image" Target="media/image1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4.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4F48D0-E414-4F80-A1AF-FDEF2C16C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11</Pages>
  <Words>3468</Words>
  <Characters>20467</Characters>
  <Application>Microsoft Office Word</Application>
  <DocSecurity>0</DocSecurity>
  <Lines>170</Lines>
  <Paragraphs>47</Paragraphs>
  <ScaleCrop>false</ScaleCrop>
  <HeadingPairs>
    <vt:vector size="2" baseType="variant">
      <vt:variant>
        <vt:lpstr>Název</vt:lpstr>
      </vt:variant>
      <vt:variant>
        <vt:i4>1</vt:i4>
      </vt:variant>
    </vt:vector>
  </HeadingPairs>
  <TitlesOfParts>
    <vt:vector size="1" baseType="lpstr">
      <vt:lpstr>č</vt:lpstr>
    </vt:vector>
  </TitlesOfParts>
  <Company>MěÚ Prostějov</Company>
  <LinksUpToDate>false</LinksUpToDate>
  <CharactersWithSpaces>23888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dc:title>
  <dc:creator>Hofman Vladimir</dc:creator>
  <cp:lastModifiedBy>Adamová Hana</cp:lastModifiedBy>
  <cp:revision>10</cp:revision>
  <cp:lastPrinted>2019-11-25T11:47:00Z</cp:lastPrinted>
  <dcterms:created xsi:type="dcterms:W3CDTF">2019-11-25T08:14:00Z</dcterms:created>
  <dcterms:modified xsi:type="dcterms:W3CDTF">2019-11-26T14:27:00Z</dcterms:modified>
</cp:coreProperties>
</file>