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FF178D" w:rsidRDefault="00354CAE" w:rsidP="00FF178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FF178D" w:rsidRPr="00354CAE">
        <w:rPr>
          <w:rFonts w:ascii="Arial" w:hAnsi="Arial" w:cs="Arial"/>
          <w:bCs/>
          <w:sz w:val="20"/>
          <w:szCs w:val="20"/>
        </w:rPr>
        <w:t>Předkládá:</w:t>
      </w:r>
      <w:r w:rsidR="00FF178D" w:rsidRPr="00354CAE">
        <w:rPr>
          <w:rFonts w:ascii="Arial" w:hAnsi="Arial" w:cs="Arial"/>
          <w:bCs/>
          <w:sz w:val="20"/>
          <w:szCs w:val="20"/>
        </w:rPr>
        <w:tab/>
      </w:r>
      <w:r w:rsidR="00FF178D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FF178D" w:rsidRDefault="00FF178D" w:rsidP="00FF178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FF178D" w:rsidRDefault="00FF178D" w:rsidP="00FF178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619C6">
        <w:rPr>
          <w:rFonts w:ascii="Arial" w:hAnsi="Arial" w:cs="Arial"/>
          <w:bCs/>
          <w:sz w:val="20"/>
          <w:szCs w:val="20"/>
        </w:rPr>
        <w:t>Mgr. František Jura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FF178D" w:rsidRDefault="00FF178D" w:rsidP="00FF178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</w:t>
      </w:r>
      <w:r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>Mgr. Miroslav Petrásek,</w:t>
      </w:r>
    </w:p>
    <w:p w:rsidR="00FF178D" w:rsidRDefault="00FF178D" w:rsidP="00FF178D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:rsidR="00425B5E" w:rsidRDefault="00425B5E" w:rsidP="00FF178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BD5C37">
        <w:rPr>
          <w:rFonts w:ascii="Arial" w:hAnsi="Arial" w:cs="Arial"/>
          <w:bCs/>
          <w:sz w:val="20"/>
          <w:szCs w:val="20"/>
        </w:rPr>
        <w:t>Roman Švarc</w:t>
      </w:r>
      <w:r>
        <w:rPr>
          <w:rFonts w:ascii="Arial" w:hAnsi="Arial" w:cs="Arial"/>
          <w:bCs/>
          <w:sz w:val="20"/>
          <w:szCs w:val="20"/>
        </w:rPr>
        <w:t>,</w:t>
      </w:r>
    </w:p>
    <w:p w:rsidR="00425B5E" w:rsidRPr="00354CAE" w:rsidRDefault="00202C07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D5C37">
        <w:rPr>
          <w:rFonts w:ascii="Arial" w:hAnsi="Arial" w:cs="Arial"/>
          <w:bCs/>
          <w:sz w:val="20"/>
          <w:szCs w:val="20"/>
        </w:rPr>
        <w:t xml:space="preserve">vedoucí oddělení dotací a </w:t>
      </w:r>
      <w:proofErr w:type="spellStart"/>
      <w:r w:rsidR="00BD5C37">
        <w:rPr>
          <w:rFonts w:ascii="Arial" w:hAnsi="Arial" w:cs="Arial"/>
          <w:bCs/>
          <w:sz w:val="20"/>
          <w:szCs w:val="20"/>
        </w:rPr>
        <w:t>proj</w:t>
      </w:r>
      <w:proofErr w:type="spellEnd"/>
      <w:r w:rsidR="00BD5C37">
        <w:rPr>
          <w:rFonts w:ascii="Arial" w:hAnsi="Arial" w:cs="Arial"/>
          <w:bCs/>
          <w:sz w:val="20"/>
          <w:szCs w:val="20"/>
        </w:rPr>
        <w:t>. řízení</w:t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B53D0" w:rsidRPr="00354CAE" w:rsidRDefault="009B53D0" w:rsidP="009B53D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9B53D0" w:rsidP="009B53D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8</w:t>
      </w:r>
      <w:r w:rsidR="00BD5C37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12</w:t>
      </w:r>
      <w:r w:rsidR="00202C07">
        <w:rPr>
          <w:rFonts w:ascii="Arial" w:hAnsi="Arial" w:cs="Arial"/>
          <w:bCs/>
          <w:sz w:val="36"/>
          <w:szCs w:val="36"/>
        </w:rPr>
        <w:t xml:space="preserve">. </w:t>
      </w:r>
      <w:r w:rsidR="00B52142">
        <w:rPr>
          <w:rFonts w:ascii="Arial" w:hAnsi="Arial" w:cs="Arial"/>
          <w:bCs/>
          <w:sz w:val="36"/>
          <w:szCs w:val="36"/>
        </w:rPr>
        <w:t>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2B7A44" w:rsidRDefault="00BD5C37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Poskytnutí dotace na zpracování </w:t>
      </w:r>
      <w:r w:rsidR="0037316A">
        <w:rPr>
          <w:rFonts w:ascii="Arial" w:hAnsi="Arial" w:cs="Arial"/>
          <w:b/>
        </w:rPr>
        <w:t>I</w:t>
      </w:r>
      <w:r w:rsidR="00F42776">
        <w:rPr>
          <w:rFonts w:ascii="Arial" w:hAnsi="Arial" w:cs="Arial"/>
          <w:b/>
        </w:rPr>
        <w:t>ntegrované s</w:t>
      </w:r>
      <w:r>
        <w:rPr>
          <w:rFonts w:ascii="Arial" w:hAnsi="Arial" w:cs="Arial"/>
          <w:b/>
        </w:rPr>
        <w:t>trategie ITI Olomoucké aglomerace</w:t>
      </w:r>
    </w:p>
    <w:p w:rsidR="00710CAD" w:rsidRPr="002B7A44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011F62" w:rsidRDefault="00354CAE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C52E3C" w:rsidRPr="00011F62" w:rsidRDefault="00C52E3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011F62">
        <w:rPr>
          <w:rFonts w:ascii="Arial" w:hAnsi="Arial" w:cs="Arial"/>
          <w:sz w:val="24"/>
        </w:rPr>
        <w:t>Návrh usnesení:</w:t>
      </w:r>
    </w:p>
    <w:p w:rsidR="00D1621E" w:rsidRPr="00011F62" w:rsidRDefault="00D1621E" w:rsidP="00B8533E">
      <w:pPr>
        <w:rPr>
          <w:rFonts w:ascii="Arial" w:hAnsi="Arial" w:cs="Arial"/>
          <w:b/>
        </w:rPr>
      </w:pPr>
    </w:p>
    <w:p w:rsidR="00C52E3C" w:rsidRPr="00011F62" w:rsidRDefault="009B53D0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0E4C34" w:rsidRPr="00011F62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D06D3" w:rsidRDefault="009B53D0" w:rsidP="00ED06D3">
      <w:pPr>
        <w:pStyle w:val="Nadpis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ch v a l u j e</w:t>
      </w:r>
      <w:r w:rsidR="00ED06D3" w:rsidRPr="00011F62">
        <w:rPr>
          <w:rFonts w:ascii="Arial" w:hAnsi="Arial" w:cs="Arial"/>
          <w:sz w:val="24"/>
          <w:szCs w:val="24"/>
        </w:rPr>
        <w:t xml:space="preserve"> </w:t>
      </w:r>
    </w:p>
    <w:p w:rsidR="009B53D0" w:rsidRPr="009B53D0" w:rsidRDefault="009B53D0" w:rsidP="009B53D0"/>
    <w:p w:rsidR="00131F12" w:rsidRPr="00131F12" w:rsidRDefault="00BD5C37" w:rsidP="00131F12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131F12">
        <w:rPr>
          <w:rFonts w:ascii="Arial" w:hAnsi="Arial" w:cs="Arial"/>
          <w:b/>
        </w:rPr>
        <w:t xml:space="preserve">žádost o dotaci statutárního města Olomouc na zpracování </w:t>
      </w:r>
      <w:r w:rsidR="0037316A">
        <w:rPr>
          <w:rFonts w:ascii="Arial" w:hAnsi="Arial" w:cs="Arial"/>
          <w:b/>
        </w:rPr>
        <w:t>I</w:t>
      </w:r>
      <w:r w:rsidR="00F42776">
        <w:rPr>
          <w:rFonts w:ascii="Arial" w:hAnsi="Arial" w:cs="Arial"/>
          <w:b/>
        </w:rPr>
        <w:t>ntegrované s</w:t>
      </w:r>
      <w:r w:rsidRPr="00131F12">
        <w:rPr>
          <w:rFonts w:ascii="Arial" w:hAnsi="Arial" w:cs="Arial"/>
          <w:b/>
        </w:rPr>
        <w:t xml:space="preserve">trategie ITI Olomoucké aglomerace </w:t>
      </w:r>
      <w:r w:rsidR="00FE1F43">
        <w:rPr>
          <w:rFonts w:ascii="Arial" w:hAnsi="Arial" w:cs="Arial"/>
          <w:b/>
        </w:rPr>
        <w:t xml:space="preserve">ve výši 100 000,- Kč </w:t>
      </w:r>
      <w:r w:rsidRPr="00131F12">
        <w:rPr>
          <w:rFonts w:ascii="Arial" w:hAnsi="Arial" w:cs="Arial"/>
          <w:b/>
        </w:rPr>
        <w:t xml:space="preserve">a </w:t>
      </w:r>
    </w:p>
    <w:p w:rsidR="00ED06D3" w:rsidRPr="00131F12" w:rsidRDefault="00FE1F43" w:rsidP="00D6573B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131F12">
        <w:rPr>
          <w:rFonts w:ascii="Arial" w:hAnsi="Arial" w:cs="Arial"/>
          <w:b/>
        </w:rPr>
        <w:t>eřejnoprávní smlouvu</w:t>
      </w:r>
      <w:r w:rsidR="00131F12" w:rsidRPr="00131F12">
        <w:rPr>
          <w:rFonts w:ascii="Arial" w:hAnsi="Arial" w:cs="Arial"/>
          <w:b/>
        </w:rPr>
        <w:t xml:space="preserve"> o poskytnutí dotace</w:t>
      </w:r>
      <w:r w:rsidR="00131F12">
        <w:rPr>
          <w:rFonts w:ascii="Arial" w:hAnsi="Arial" w:cs="Arial"/>
          <w:b/>
        </w:rPr>
        <w:t xml:space="preserve"> z rozpočtu statutárního města Prostějova </w:t>
      </w:r>
      <w:r w:rsidR="0037316A">
        <w:rPr>
          <w:rFonts w:ascii="Arial" w:hAnsi="Arial" w:cs="Arial"/>
          <w:b/>
        </w:rPr>
        <w:t>na vypracování koncepční části I</w:t>
      </w:r>
      <w:r w:rsidR="00131F12" w:rsidRPr="00131F12">
        <w:rPr>
          <w:rFonts w:ascii="Arial" w:hAnsi="Arial" w:cs="Arial"/>
          <w:b/>
        </w:rPr>
        <w:t>ntegrované strategie ITI</w:t>
      </w:r>
      <w:r w:rsidR="00202C07" w:rsidRPr="00131F12">
        <w:rPr>
          <w:rFonts w:ascii="Arial" w:hAnsi="Arial" w:cs="Arial"/>
          <w:b/>
        </w:rPr>
        <w:t xml:space="preserve"> </w:t>
      </w:r>
      <w:r w:rsidR="00ED06D3" w:rsidRPr="00131F12">
        <w:rPr>
          <w:rFonts w:ascii="Arial" w:hAnsi="Arial" w:cs="Arial"/>
          <w:b/>
        </w:rPr>
        <w:t>ve znění dle přiloženého návrhu.</w:t>
      </w:r>
    </w:p>
    <w:p w:rsidR="00ED06D3" w:rsidRPr="00011F62" w:rsidRDefault="00ED06D3" w:rsidP="00ED06D3">
      <w:pPr>
        <w:rPr>
          <w:rFonts w:ascii="Arial" w:hAnsi="Arial" w:cs="Arial"/>
        </w:rPr>
      </w:pPr>
    </w:p>
    <w:p w:rsidR="00E6619E" w:rsidRPr="00011F62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B92A9B" w:rsidRPr="00011F62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D1621E" w:rsidRPr="00011F62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D1621E" w:rsidRPr="00011F62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D1621E" w:rsidRPr="00011F62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284CB3" w:rsidRPr="00011F62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284CB3" w:rsidRPr="00011F62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23"/>
        <w:gridCol w:w="3573"/>
        <w:gridCol w:w="1775"/>
        <w:gridCol w:w="1775"/>
      </w:tblGrid>
      <w:tr w:rsidR="00FE3AB7" w:rsidRPr="00011F62" w:rsidTr="00EB5ADE">
        <w:tc>
          <w:tcPr>
            <w:tcW w:w="9346" w:type="dxa"/>
            <w:gridSpan w:val="4"/>
          </w:tcPr>
          <w:p w:rsidR="00FE3AB7" w:rsidRPr="00011F62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011F62">
              <w:rPr>
                <w:rFonts w:ascii="Arial" w:hAnsi="Arial" w:cs="Arial"/>
                <w:bCs/>
              </w:rPr>
              <w:t>P o d p i s</w:t>
            </w:r>
            <w:r w:rsidR="001557E3" w:rsidRPr="00011F62">
              <w:rPr>
                <w:rFonts w:ascii="Arial" w:hAnsi="Arial" w:cs="Arial"/>
                <w:bCs/>
              </w:rPr>
              <w:t> </w:t>
            </w:r>
            <w:r w:rsidRPr="00011F62">
              <w:rPr>
                <w:rFonts w:ascii="Arial" w:hAnsi="Arial" w:cs="Arial"/>
                <w:bCs/>
              </w:rPr>
              <w:t>y</w:t>
            </w:r>
          </w:p>
        </w:tc>
      </w:tr>
      <w:tr w:rsidR="00EB5ADE" w:rsidRPr="00011F62" w:rsidTr="00EB5ADE">
        <w:tc>
          <w:tcPr>
            <w:tcW w:w="2223" w:type="dxa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011F62">
              <w:rPr>
                <w:rFonts w:ascii="Arial" w:hAnsi="Arial" w:cs="Arial"/>
                <w:bCs/>
              </w:rPr>
              <w:t>Předkladatel</w:t>
            </w:r>
          </w:p>
        </w:tc>
        <w:tc>
          <w:tcPr>
            <w:tcW w:w="3573" w:type="dxa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  <w:tab w:val="left" w:pos="2444"/>
              </w:tabs>
              <w:rPr>
                <w:rFonts w:ascii="Arial" w:hAnsi="Arial" w:cs="Arial"/>
                <w:bCs/>
                <w:i/>
              </w:rPr>
            </w:pPr>
            <w:r w:rsidRPr="00011F62">
              <w:rPr>
                <w:rFonts w:ascii="Arial" w:hAnsi="Arial" w:cs="Arial"/>
                <w:bCs/>
                <w:i/>
              </w:rPr>
              <w:t>Mgr. František Jura,</w:t>
            </w:r>
          </w:p>
          <w:p w:rsidR="00EB5ADE" w:rsidRPr="00011F62" w:rsidRDefault="00EB5ADE" w:rsidP="00EB5ADE">
            <w:pPr>
              <w:tabs>
                <w:tab w:val="left" w:pos="-284"/>
                <w:tab w:val="left" w:pos="360"/>
                <w:tab w:val="left" w:pos="2444"/>
              </w:tabs>
              <w:rPr>
                <w:rFonts w:ascii="Arial" w:hAnsi="Arial" w:cs="Arial"/>
                <w:bCs/>
                <w:i/>
              </w:rPr>
            </w:pPr>
            <w:r w:rsidRPr="00011F62">
              <w:rPr>
                <w:rFonts w:ascii="Arial" w:hAnsi="Arial" w:cs="Arial"/>
                <w:bCs/>
                <w:i/>
              </w:rPr>
              <w:t>primátor</w:t>
            </w:r>
            <w:r>
              <w:rPr>
                <w:rFonts w:ascii="Arial" w:hAnsi="Arial" w:cs="Arial"/>
                <w:bCs/>
                <w:i/>
              </w:rPr>
              <w:tab/>
              <w:t>v. r.</w:t>
            </w:r>
          </w:p>
        </w:tc>
        <w:tc>
          <w:tcPr>
            <w:tcW w:w="1775" w:type="dxa"/>
            <w:vAlign w:val="bottom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75" w:type="dxa"/>
            <w:vAlign w:val="bottom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Mgr. František Jura v. r.</w:t>
            </w:r>
          </w:p>
        </w:tc>
      </w:tr>
      <w:tr w:rsidR="00EB5ADE" w:rsidRPr="00011F62" w:rsidTr="00EB5ADE">
        <w:tc>
          <w:tcPr>
            <w:tcW w:w="2223" w:type="dxa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011F62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573" w:type="dxa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  <w:tab w:val="left" w:pos="2444"/>
              </w:tabs>
              <w:rPr>
                <w:rFonts w:ascii="Arial" w:hAnsi="Arial" w:cs="Arial"/>
                <w:bCs/>
                <w:i/>
              </w:rPr>
            </w:pPr>
            <w:r w:rsidRPr="00011F62">
              <w:rPr>
                <w:rFonts w:ascii="Arial" w:hAnsi="Arial" w:cs="Arial"/>
                <w:bCs/>
                <w:i/>
              </w:rPr>
              <w:t xml:space="preserve">Mgr. Miroslav Petrásek, </w:t>
            </w:r>
          </w:p>
          <w:p w:rsidR="00EB5ADE" w:rsidRPr="00011F62" w:rsidRDefault="00EB5ADE" w:rsidP="00EB5ADE">
            <w:pPr>
              <w:tabs>
                <w:tab w:val="left" w:pos="-284"/>
                <w:tab w:val="left" w:pos="360"/>
                <w:tab w:val="left" w:pos="2444"/>
              </w:tabs>
              <w:rPr>
                <w:rFonts w:ascii="Arial" w:hAnsi="Arial" w:cs="Arial"/>
                <w:bCs/>
                <w:i/>
              </w:rPr>
            </w:pPr>
            <w:r w:rsidRPr="00011F62">
              <w:rPr>
                <w:rFonts w:ascii="Arial" w:hAnsi="Arial" w:cs="Arial"/>
                <w:bCs/>
                <w:i/>
              </w:rPr>
              <w:t>vedoucí Odboru dotací a veřejných zakázek</w:t>
            </w:r>
            <w:r>
              <w:rPr>
                <w:rFonts w:ascii="Arial" w:hAnsi="Arial" w:cs="Arial"/>
                <w:bCs/>
                <w:i/>
              </w:rPr>
              <w:tab/>
              <w:t>v. r.</w:t>
            </w:r>
          </w:p>
        </w:tc>
        <w:tc>
          <w:tcPr>
            <w:tcW w:w="1775" w:type="dxa"/>
            <w:vAlign w:val="bottom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75" w:type="dxa"/>
            <w:vAlign w:val="bottom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Mgr. Miroslav Petrásek v. r.</w:t>
            </w:r>
          </w:p>
        </w:tc>
      </w:tr>
      <w:tr w:rsidR="00EB5ADE" w:rsidRPr="00011F62" w:rsidTr="00EB5ADE">
        <w:tc>
          <w:tcPr>
            <w:tcW w:w="2223" w:type="dxa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011F62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573" w:type="dxa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  <w:tab w:val="left" w:pos="2444"/>
              </w:tabs>
              <w:rPr>
                <w:rFonts w:ascii="Arial" w:hAnsi="Arial" w:cs="Arial"/>
                <w:bCs/>
                <w:i/>
              </w:rPr>
            </w:pPr>
            <w:r w:rsidRPr="00011F62">
              <w:rPr>
                <w:rFonts w:ascii="Arial" w:hAnsi="Arial" w:cs="Arial"/>
                <w:bCs/>
                <w:i/>
              </w:rPr>
              <w:t xml:space="preserve">Ing. </w:t>
            </w:r>
            <w:r>
              <w:rPr>
                <w:rFonts w:ascii="Arial" w:hAnsi="Arial" w:cs="Arial"/>
                <w:bCs/>
                <w:i/>
              </w:rPr>
              <w:t>Roman Švarc</w:t>
            </w:r>
            <w:r w:rsidRPr="00011F62">
              <w:rPr>
                <w:rFonts w:ascii="Arial" w:hAnsi="Arial" w:cs="Arial"/>
                <w:bCs/>
                <w:i/>
              </w:rPr>
              <w:t xml:space="preserve">, </w:t>
            </w:r>
          </w:p>
          <w:p w:rsidR="00EB5ADE" w:rsidRPr="00011F62" w:rsidRDefault="00EB5ADE" w:rsidP="00EB5ADE">
            <w:pPr>
              <w:tabs>
                <w:tab w:val="left" w:pos="-284"/>
                <w:tab w:val="left" w:pos="360"/>
                <w:tab w:val="left" w:pos="2444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vedoucí oddělení dotací a projektového řízení</w:t>
            </w:r>
            <w:r>
              <w:rPr>
                <w:rFonts w:ascii="Arial" w:hAnsi="Arial" w:cs="Arial"/>
                <w:bCs/>
                <w:i/>
              </w:rPr>
              <w:tab/>
              <w:t>v. r.</w:t>
            </w:r>
          </w:p>
        </w:tc>
        <w:tc>
          <w:tcPr>
            <w:tcW w:w="1775" w:type="dxa"/>
            <w:vAlign w:val="bottom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775" w:type="dxa"/>
            <w:vAlign w:val="bottom"/>
          </w:tcPr>
          <w:p w:rsidR="00EB5ADE" w:rsidRPr="00011F62" w:rsidRDefault="00EB5ADE" w:rsidP="00EB5AD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Ing. Roman Švarc v. r.</w:t>
            </w:r>
          </w:p>
        </w:tc>
      </w:tr>
    </w:tbl>
    <w:p w:rsidR="000D0D1F" w:rsidRDefault="000D0D1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0D0D1F" w:rsidRDefault="000D0D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011F62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011F62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Pr="00011F62" w:rsidRDefault="00B8533E" w:rsidP="00B8533E">
      <w:pPr>
        <w:jc w:val="both"/>
        <w:rPr>
          <w:rFonts w:ascii="Arial" w:hAnsi="Arial" w:cs="Arial"/>
          <w:i/>
        </w:rPr>
      </w:pPr>
    </w:p>
    <w:p w:rsidR="00F42776" w:rsidRPr="004E2C0E" w:rsidRDefault="00F42776" w:rsidP="00F42776">
      <w:pPr>
        <w:jc w:val="both"/>
        <w:rPr>
          <w:rStyle w:val="Psmoodstavce"/>
        </w:rPr>
      </w:pPr>
      <w:r w:rsidRPr="004E2C0E">
        <w:rPr>
          <w:rStyle w:val="Psmoodstavce"/>
        </w:rPr>
        <w:t xml:space="preserve">Na primátora města Prostějova se obrátil primátor města Olomouce Mgr. Miroslav </w:t>
      </w:r>
      <w:proofErr w:type="spellStart"/>
      <w:r w:rsidRPr="004E2C0E">
        <w:rPr>
          <w:rStyle w:val="Psmoodstavce"/>
        </w:rPr>
        <w:t>Žbánek</w:t>
      </w:r>
      <w:proofErr w:type="spellEnd"/>
      <w:r w:rsidRPr="004E2C0E">
        <w:rPr>
          <w:rStyle w:val="Psmoodstavce"/>
        </w:rPr>
        <w:t xml:space="preserve">, MPA s žádostí o spolufinancování nové Integrované strategie ITI Olomoucké aglomerace pro období 2021-2027. </w:t>
      </w:r>
    </w:p>
    <w:p w:rsidR="00F42776" w:rsidRPr="004E2C0E" w:rsidRDefault="00F42776" w:rsidP="00F42776">
      <w:pPr>
        <w:jc w:val="both"/>
        <w:rPr>
          <w:rStyle w:val="Psmoodstavce"/>
        </w:rPr>
      </w:pPr>
    </w:p>
    <w:p w:rsidR="00F42776" w:rsidRPr="004E2C0E" w:rsidRDefault="00F42776" w:rsidP="00F42776">
      <w:pPr>
        <w:jc w:val="both"/>
        <w:rPr>
          <w:rStyle w:val="Psmoodstavce"/>
        </w:rPr>
      </w:pPr>
      <w:r w:rsidRPr="004E2C0E">
        <w:rPr>
          <w:rStyle w:val="Psmoodstavce"/>
        </w:rPr>
        <w:t xml:space="preserve">Vzhledem k přípravě Olomoucké aglomerace na nové programové období 2021+, bude město Olomouc ve spolupráci s dalšími partnery v území zpracovávat Integrovanou strategii ITI Olomoucké aglomerace pro období 2021-2027. </w:t>
      </w:r>
    </w:p>
    <w:p w:rsidR="00F42776" w:rsidRPr="004E2C0E" w:rsidRDefault="00F42776" w:rsidP="00F42776">
      <w:pPr>
        <w:jc w:val="both"/>
        <w:rPr>
          <w:rStyle w:val="Psmoodstavce"/>
        </w:rPr>
      </w:pPr>
    </w:p>
    <w:p w:rsidR="00F42776" w:rsidRPr="004E2C0E" w:rsidRDefault="00F42776" w:rsidP="00F42776">
      <w:pPr>
        <w:jc w:val="both"/>
        <w:rPr>
          <w:rStyle w:val="Psmoodstavce"/>
        </w:rPr>
      </w:pPr>
      <w:r w:rsidRPr="004E2C0E">
        <w:rPr>
          <w:rStyle w:val="Psmoodstavce"/>
        </w:rPr>
        <w:t xml:space="preserve">Na základě realizovaného průzkumu trhu jsou předpokládané náklady na zpracování této strategie (externím zpracovatelem) ve výši 1 004 tis. Kč (vč. DPH). Na spolufinancování zpracování strategie bude možno využít finančních prostředků z Operačního programu Technická pomoc (OPTP). Dotace z OPTP ve výši cca 500 tis. Kč </w:t>
      </w:r>
      <w:r w:rsidR="003E6F93">
        <w:rPr>
          <w:rStyle w:val="Psmoodstavce"/>
        </w:rPr>
        <w:t>však pokryje</w:t>
      </w:r>
      <w:r w:rsidRPr="004E2C0E">
        <w:rPr>
          <w:rStyle w:val="Psmoodstavce"/>
        </w:rPr>
        <w:t xml:space="preserve"> pouze část nákladů.  </w:t>
      </w:r>
    </w:p>
    <w:p w:rsidR="00F42776" w:rsidRPr="004E2C0E" w:rsidRDefault="00F42776" w:rsidP="00F42776">
      <w:pPr>
        <w:jc w:val="both"/>
        <w:rPr>
          <w:rStyle w:val="Psmoodstavce"/>
        </w:rPr>
      </w:pPr>
    </w:p>
    <w:p w:rsidR="00F42776" w:rsidRPr="004E2C0E" w:rsidRDefault="00F42776" w:rsidP="00F42776">
      <w:pPr>
        <w:jc w:val="both"/>
        <w:rPr>
          <w:rStyle w:val="Psmoodstavce"/>
        </w:rPr>
      </w:pPr>
      <w:r w:rsidRPr="004E2C0E">
        <w:rPr>
          <w:rStyle w:val="Psmoodstavce"/>
        </w:rPr>
        <w:t xml:space="preserve">Proto se </w:t>
      </w:r>
      <w:r w:rsidR="003E6F93">
        <w:rPr>
          <w:rStyle w:val="Psmoodstavce"/>
        </w:rPr>
        <w:t xml:space="preserve">statutární město Olomouc </w:t>
      </w:r>
      <w:r w:rsidRPr="004E2C0E">
        <w:rPr>
          <w:rStyle w:val="Psmoodstavce"/>
        </w:rPr>
        <w:t xml:space="preserve">obrací </w:t>
      </w:r>
      <w:r w:rsidR="003E6F93">
        <w:rPr>
          <w:rStyle w:val="Psmoodstavce"/>
        </w:rPr>
        <w:t xml:space="preserve">na statutární Město Prostějov </w:t>
      </w:r>
      <w:r w:rsidRPr="004E2C0E">
        <w:rPr>
          <w:rStyle w:val="Psmoodstavce"/>
        </w:rPr>
        <w:t>s žádostí o</w:t>
      </w:r>
      <w:r w:rsidR="003E6F93">
        <w:rPr>
          <w:rStyle w:val="Psmoodstavce"/>
        </w:rPr>
        <w:t> </w:t>
      </w:r>
      <w:r w:rsidRPr="004E2C0E">
        <w:rPr>
          <w:rStyle w:val="Psmoodstavce"/>
        </w:rPr>
        <w:t xml:space="preserve">spolufinancování nové Integrované strategie ITI Olomoucké aglomerace pro období 2021-2027. </w:t>
      </w:r>
      <w:r w:rsidR="003E6F93">
        <w:rPr>
          <w:rStyle w:val="Psmoodstavce"/>
        </w:rPr>
        <w:t>Předpoklad je takový</w:t>
      </w:r>
      <w:r w:rsidRPr="004E2C0E">
        <w:rPr>
          <w:rStyle w:val="Psmoodstavce"/>
        </w:rPr>
        <w:t xml:space="preserve">, že statutární města v území by se podílela částkou na </w:t>
      </w:r>
      <w:r w:rsidRPr="003E6F93">
        <w:rPr>
          <w:rStyle w:val="Psmoodstavce"/>
          <w:b/>
        </w:rPr>
        <w:t xml:space="preserve">dofinancování </w:t>
      </w:r>
      <w:r w:rsidR="003E6F93" w:rsidRPr="003E6F93">
        <w:rPr>
          <w:rStyle w:val="Psmoodstavce"/>
          <w:b/>
        </w:rPr>
        <w:t xml:space="preserve">strategie </w:t>
      </w:r>
      <w:r w:rsidRPr="003E6F93">
        <w:rPr>
          <w:rStyle w:val="Psmoodstavce"/>
          <w:b/>
        </w:rPr>
        <w:t>v poměru 3:1:1,</w:t>
      </w:r>
      <w:r w:rsidR="003E6F93" w:rsidRPr="003E6F93">
        <w:rPr>
          <w:rStyle w:val="Psmoodstavce"/>
          <w:b/>
        </w:rPr>
        <w:t xml:space="preserve"> </w:t>
      </w:r>
      <w:r w:rsidRPr="003E6F93">
        <w:rPr>
          <w:rStyle w:val="Psmoodstavce"/>
          <w:b/>
        </w:rPr>
        <w:t>tzn. statutární město Olomouc částkou ve výši 300 tis. Kč, statutární města Prostějov</w:t>
      </w:r>
      <w:r w:rsidR="003E6F93" w:rsidRPr="003E6F93">
        <w:rPr>
          <w:rStyle w:val="Psmoodstavce"/>
          <w:b/>
        </w:rPr>
        <w:t xml:space="preserve"> </w:t>
      </w:r>
      <w:r w:rsidRPr="003E6F93">
        <w:rPr>
          <w:rStyle w:val="Psmoodstavce"/>
          <w:b/>
        </w:rPr>
        <w:t>a Přerov, každé částkou ve výši 100 tis. Kč</w:t>
      </w:r>
      <w:r w:rsidRPr="004E2C0E">
        <w:rPr>
          <w:rStyle w:val="Psmoodstavce"/>
        </w:rPr>
        <w:t>. V případě vyššího spolufinancování z dotace z OPTP by se tyto částky krátily v daném poměru.</w:t>
      </w:r>
    </w:p>
    <w:p w:rsidR="00F42776" w:rsidRPr="004E2C0E" w:rsidRDefault="00F42776" w:rsidP="00F42776">
      <w:pPr>
        <w:jc w:val="both"/>
        <w:rPr>
          <w:rStyle w:val="Psmoodstavce"/>
        </w:rPr>
      </w:pPr>
    </w:p>
    <w:p w:rsidR="00011F62" w:rsidRDefault="003E6F93" w:rsidP="00F42776">
      <w:pPr>
        <w:pStyle w:val="Default"/>
        <w:jc w:val="both"/>
        <w:rPr>
          <w:rStyle w:val="Psmoodstavce"/>
        </w:rPr>
      </w:pPr>
      <w:r>
        <w:rPr>
          <w:rStyle w:val="Psmoodstavce"/>
        </w:rPr>
        <w:t>Nyní jsou připravovány</w:t>
      </w:r>
      <w:r w:rsidR="00F42776" w:rsidRPr="004E2C0E">
        <w:rPr>
          <w:rStyle w:val="Psmoodstavce"/>
        </w:rPr>
        <w:t xml:space="preserve"> zadávací podmínky výběrového řízení na zpracovatele integrované strategie</w:t>
      </w:r>
      <w:r>
        <w:rPr>
          <w:rStyle w:val="Psmoodstavce"/>
        </w:rPr>
        <w:t>, z něhož vzejde výsledná částka</w:t>
      </w:r>
      <w:r w:rsidR="00F42776" w:rsidRPr="004E2C0E">
        <w:rPr>
          <w:rStyle w:val="Psmoodstavce"/>
        </w:rPr>
        <w:t xml:space="preserve">. </w:t>
      </w:r>
      <w:r>
        <w:rPr>
          <w:rStyle w:val="Psmoodstavce"/>
        </w:rPr>
        <w:t>Zadávací podmínky</w:t>
      </w:r>
      <w:r w:rsidR="00F42776" w:rsidRPr="004E2C0E">
        <w:rPr>
          <w:rStyle w:val="Psmoodstavce"/>
        </w:rPr>
        <w:t xml:space="preserve"> budou odeslány ke schválení Řídícímu orgánu OPTP a poté bude realizováno samotné výběrové řízení (pravděpodobně v prosinci 2020). Zpracování a následné schválení Integrované strategie ITI Olomoucké aglomerace pro období 2021-2027, v rámci kterého se očekává i aktivní zapojení vašich měst, je naplánováno na období leden – červen 2021.</w:t>
      </w:r>
    </w:p>
    <w:p w:rsidR="003E6F93" w:rsidRDefault="003E6F93" w:rsidP="00F42776">
      <w:pPr>
        <w:pStyle w:val="Default"/>
        <w:jc w:val="both"/>
        <w:rPr>
          <w:rStyle w:val="Psmoodstavce"/>
        </w:rPr>
      </w:pPr>
    </w:p>
    <w:p w:rsidR="003E6F93" w:rsidRPr="00011F62" w:rsidRDefault="003E6F93" w:rsidP="00F42776">
      <w:pPr>
        <w:pStyle w:val="Default"/>
        <w:jc w:val="both"/>
      </w:pPr>
      <w:r>
        <w:rPr>
          <w:rStyle w:val="Psmoodstavce"/>
        </w:rPr>
        <w:t xml:space="preserve">Statutární město Prostějov se finančně podílelo na zpracování Strategie ITI Olomoucké aglomerace již pro současné období 2014 – 2020. Následně v rámci výzev nositele ITI Olomoucké aglomerace pak město Prostějov získalo dotace ve výši cca </w:t>
      </w:r>
      <w:r w:rsidR="00F85D7C">
        <w:rPr>
          <w:rStyle w:val="Psmoodstavce"/>
        </w:rPr>
        <w:t>115 mil. Kč</w:t>
      </w:r>
      <w:r>
        <w:rPr>
          <w:rStyle w:val="Psmoodstavce"/>
        </w:rPr>
        <w:t xml:space="preserve"> na obnovu Národního domu, terminál Janáčkova, zvýšení kapacity MŠ Čechovice, vybudování odborných učeben na ZŠ J. Železného, ZŠ E. Valenty a Melantrichova a na rekonstrukci DDM Vápenice. V rámci ITI Olomoucké aglomerace </w:t>
      </w:r>
      <w:r w:rsidR="00F85D7C">
        <w:rPr>
          <w:rStyle w:val="Psmoodstavce"/>
        </w:rPr>
        <w:t>realizuje Olomoucký kraj výstavbu severního obchvatu města.</w:t>
      </w:r>
    </w:p>
    <w:p w:rsidR="00EB2DE7" w:rsidRDefault="00EB2DE7" w:rsidP="00011F6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030C53" w:rsidRDefault="00551B4E" w:rsidP="00030C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Rada města Prostějova projednala žádost o dotaci a </w:t>
      </w:r>
      <w:r w:rsidR="000354C3">
        <w:rPr>
          <w:rFonts w:ascii="Arial" w:hAnsi="Arial" w:cs="Arial"/>
          <w:bCs/>
        </w:rPr>
        <w:t xml:space="preserve">veřejnoprávní smlouvu </w:t>
      </w:r>
      <w:r>
        <w:rPr>
          <w:rFonts w:ascii="Arial" w:hAnsi="Arial" w:cs="Arial"/>
          <w:bCs/>
        </w:rPr>
        <w:t>na své schůzi konané dne 24. 11. 2020.</w:t>
      </w: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5D7E99">
        <w:rPr>
          <w:rFonts w:ascii="Arial" w:hAnsi="Arial" w:cs="Arial"/>
          <w:u w:val="single"/>
        </w:rPr>
        <w:t>y</w:t>
      </w:r>
      <w:r w:rsidRPr="00FD0CF3">
        <w:rPr>
          <w:rFonts w:ascii="Arial" w:hAnsi="Arial" w:cs="Arial"/>
          <w:u w:val="single"/>
        </w:rPr>
        <w:t>:</w:t>
      </w:r>
    </w:p>
    <w:p w:rsidR="005D7E99" w:rsidRDefault="005D7E99" w:rsidP="005D7E99">
      <w:pPr>
        <w:tabs>
          <w:tab w:val="left" w:pos="35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dotaci statutárního města Olomouce</w:t>
      </w:r>
    </w:p>
    <w:p w:rsidR="00B8533E" w:rsidRDefault="00E97E72" w:rsidP="00E97E72">
      <w:pPr>
        <w:tabs>
          <w:tab w:val="left" w:pos="3516"/>
        </w:tabs>
        <w:jc w:val="both"/>
        <w:rPr>
          <w:rFonts w:ascii="Arial" w:hAnsi="Arial" w:cs="Arial"/>
        </w:rPr>
      </w:pPr>
      <w:r w:rsidRPr="00E97E72">
        <w:rPr>
          <w:rFonts w:ascii="Arial" w:hAnsi="Arial" w:cs="Arial"/>
        </w:rPr>
        <w:t>Veřejnoprávní smlouva o poskytnutí dotace</w:t>
      </w:r>
      <w:r>
        <w:rPr>
          <w:rFonts w:ascii="Arial" w:hAnsi="Arial" w:cs="Arial"/>
        </w:rPr>
        <w:t xml:space="preserve"> </w:t>
      </w:r>
      <w:r w:rsidRPr="00E97E72">
        <w:rPr>
          <w:rFonts w:ascii="Arial" w:hAnsi="Arial" w:cs="Arial"/>
        </w:rPr>
        <w:t>na vypracování koncepční části integrované strategie ITI</w:t>
      </w:r>
    </w:p>
    <w:p w:rsidR="00E97E72" w:rsidRDefault="00E97E72" w:rsidP="00E97E72">
      <w:pPr>
        <w:tabs>
          <w:tab w:val="left" w:pos="3516"/>
        </w:tabs>
        <w:jc w:val="both"/>
        <w:rPr>
          <w:rFonts w:ascii="Arial" w:hAnsi="Arial" w:cs="Arial"/>
        </w:rPr>
      </w:pPr>
    </w:p>
    <w:p w:rsidR="00E97E72" w:rsidRDefault="00E97E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7E72" w:rsidRPr="00E97E72" w:rsidRDefault="005D7E99" w:rsidP="00E97E72">
      <w:pPr>
        <w:tabs>
          <w:tab w:val="left" w:pos="35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:rsidR="00E97E72" w:rsidRPr="00E97E72" w:rsidRDefault="00E97E72" w:rsidP="00E97E72">
      <w:pPr>
        <w:tabs>
          <w:tab w:val="left" w:pos="3516"/>
        </w:tabs>
        <w:jc w:val="both"/>
        <w:rPr>
          <w:rFonts w:ascii="Arial" w:hAnsi="Arial" w:cs="Arial"/>
        </w:rPr>
      </w:pPr>
    </w:p>
    <w:p w:rsidR="00E97E72" w:rsidRPr="00E97E72" w:rsidRDefault="00E97E72" w:rsidP="00E97E72">
      <w:pPr>
        <w:jc w:val="center"/>
        <w:rPr>
          <w:b/>
          <w:color w:val="000000"/>
          <w:sz w:val="28"/>
          <w:szCs w:val="28"/>
          <w:lang w:eastAsia="en-US"/>
        </w:rPr>
      </w:pPr>
      <w:r w:rsidRPr="00E97E72">
        <w:rPr>
          <w:b/>
          <w:color w:val="000000"/>
          <w:sz w:val="28"/>
          <w:szCs w:val="28"/>
          <w:lang w:eastAsia="en-US"/>
        </w:rPr>
        <w:t>Veřejnoprávní smlouva o poskytnutí dotace</w:t>
      </w:r>
    </w:p>
    <w:p w:rsidR="00E97E72" w:rsidRPr="00E97E72" w:rsidRDefault="00E97E72" w:rsidP="00E97E72">
      <w:pPr>
        <w:jc w:val="center"/>
        <w:rPr>
          <w:sz w:val="28"/>
          <w:szCs w:val="28"/>
          <w:lang w:eastAsia="en-US"/>
        </w:rPr>
      </w:pPr>
      <w:r w:rsidRPr="00E97E72">
        <w:rPr>
          <w:b/>
          <w:color w:val="000000"/>
          <w:sz w:val="28"/>
          <w:szCs w:val="28"/>
          <w:lang w:eastAsia="en-US"/>
        </w:rPr>
        <w:t>na vypracování koncepční části integrované strategie ITI</w:t>
      </w:r>
    </w:p>
    <w:p w:rsidR="00E97E72" w:rsidRPr="00E97E72" w:rsidRDefault="00E97E72" w:rsidP="00E97E72">
      <w:pPr>
        <w:jc w:val="center"/>
        <w:rPr>
          <w:b/>
          <w:sz w:val="22"/>
          <w:szCs w:val="22"/>
          <w:lang w:eastAsia="en-US"/>
        </w:rPr>
      </w:pPr>
    </w:p>
    <w:p w:rsidR="00E97E72" w:rsidRPr="00E97E72" w:rsidRDefault="00E97E72" w:rsidP="00E97E72">
      <w:pPr>
        <w:jc w:val="center"/>
        <w:rPr>
          <w:b/>
          <w:sz w:val="22"/>
          <w:szCs w:val="22"/>
          <w:lang w:eastAsia="en-US"/>
        </w:rPr>
      </w:pPr>
    </w:p>
    <w:p w:rsidR="00E97E72" w:rsidRPr="00E97E72" w:rsidRDefault="00E97E72" w:rsidP="00E97E72">
      <w:pPr>
        <w:tabs>
          <w:tab w:val="left" w:pos="0"/>
        </w:tabs>
        <w:rPr>
          <w:b/>
          <w:color w:val="000000"/>
          <w:sz w:val="22"/>
          <w:szCs w:val="22"/>
          <w:lang w:eastAsia="en-US"/>
        </w:rPr>
      </w:pPr>
      <w:r w:rsidRPr="00E97E72">
        <w:rPr>
          <w:b/>
          <w:color w:val="000000"/>
          <w:sz w:val="22"/>
          <w:szCs w:val="22"/>
          <w:lang w:eastAsia="en-US"/>
        </w:rPr>
        <w:t xml:space="preserve"> Statutární město Prostějov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13"/>
      </w:tblGrid>
      <w:tr w:rsidR="00E97E72" w:rsidRPr="00E97E72" w:rsidTr="00D4506F">
        <w:tc>
          <w:tcPr>
            <w:tcW w:w="2127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97E72">
              <w:rPr>
                <w:color w:val="000000"/>
                <w:sz w:val="22"/>
                <w:szCs w:val="22"/>
                <w:lang w:eastAsia="en-US"/>
              </w:rPr>
              <w:t>Se sídlem</w:t>
            </w:r>
          </w:p>
        </w:tc>
        <w:tc>
          <w:tcPr>
            <w:tcW w:w="7013" w:type="dxa"/>
          </w:tcPr>
          <w:p w:rsidR="00E97E72" w:rsidRPr="00E97E72" w:rsidRDefault="00E97E72" w:rsidP="00E97E72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E97E72">
              <w:rPr>
                <w:color w:val="000000"/>
                <w:sz w:val="22"/>
                <w:szCs w:val="22"/>
                <w:lang w:eastAsia="en-US"/>
              </w:rPr>
              <w:t>nám T. G. Masaryka 130/14, 796 01 Prostějov</w:t>
            </w:r>
          </w:p>
        </w:tc>
      </w:tr>
      <w:tr w:rsidR="00E97E72" w:rsidRPr="00E97E72" w:rsidTr="00D4506F">
        <w:tc>
          <w:tcPr>
            <w:tcW w:w="2127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97E72">
              <w:rPr>
                <w:color w:val="000000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7013" w:type="dxa"/>
          </w:tcPr>
          <w:p w:rsidR="00E97E72" w:rsidRPr="00E97E72" w:rsidRDefault="00E97E72" w:rsidP="00E97E72">
            <w:pPr>
              <w:rPr>
                <w:color w:val="000000"/>
                <w:sz w:val="22"/>
                <w:szCs w:val="22"/>
                <w:lang w:eastAsia="en-US"/>
              </w:rPr>
            </w:pPr>
            <w:r w:rsidRPr="00E97E72">
              <w:rPr>
                <w:color w:val="000000"/>
                <w:sz w:val="22"/>
                <w:szCs w:val="22"/>
                <w:lang w:eastAsia="en-US"/>
              </w:rPr>
              <w:t xml:space="preserve">00288659 </w:t>
            </w:r>
          </w:p>
        </w:tc>
      </w:tr>
      <w:tr w:rsidR="00E97E72" w:rsidRPr="00E97E72" w:rsidTr="00D4506F">
        <w:tc>
          <w:tcPr>
            <w:tcW w:w="2127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97E72">
              <w:rPr>
                <w:color w:val="000000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7013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97E72">
              <w:rPr>
                <w:color w:val="000000"/>
                <w:sz w:val="22"/>
                <w:szCs w:val="22"/>
                <w:lang w:eastAsia="en-US"/>
              </w:rPr>
              <w:t xml:space="preserve">CZ00288659  </w:t>
            </w:r>
          </w:p>
        </w:tc>
      </w:tr>
      <w:tr w:rsidR="00E97E72" w:rsidRPr="00E97E72" w:rsidTr="00D4506F">
        <w:trPr>
          <w:trHeight w:val="143"/>
        </w:trPr>
        <w:tc>
          <w:tcPr>
            <w:tcW w:w="2127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97E72">
              <w:rPr>
                <w:color w:val="000000"/>
                <w:sz w:val="22"/>
                <w:szCs w:val="22"/>
                <w:lang w:eastAsia="en-US"/>
              </w:rPr>
              <w:t>Zastoupené</w:t>
            </w:r>
          </w:p>
        </w:tc>
        <w:tc>
          <w:tcPr>
            <w:tcW w:w="7013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97E72">
              <w:rPr>
                <w:color w:val="000000"/>
                <w:sz w:val="22"/>
                <w:szCs w:val="22"/>
                <w:lang w:eastAsia="en-US"/>
              </w:rPr>
              <w:t>Mgr. Františkem Jurou, primátorem</w:t>
            </w:r>
          </w:p>
        </w:tc>
      </w:tr>
    </w:tbl>
    <w:p w:rsidR="00E97E72" w:rsidRPr="00E97E72" w:rsidRDefault="00E97E72" w:rsidP="00E97E72">
      <w:pPr>
        <w:tabs>
          <w:tab w:val="left" w:pos="0"/>
        </w:tabs>
        <w:rPr>
          <w:b/>
          <w:sz w:val="22"/>
          <w:szCs w:val="22"/>
          <w:lang w:eastAsia="en-US"/>
        </w:rPr>
      </w:pPr>
      <w:r w:rsidRPr="00E97E72">
        <w:rPr>
          <w:color w:val="000000"/>
          <w:sz w:val="22"/>
          <w:szCs w:val="22"/>
          <w:lang w:eastAsia="en-US"/>
        </w:rPr>
        <w:t xml:space="preserve"> ID datové schránky: </w:t>
      </w:r>
      <w:r w:rsidRPr="00E97E72">
        <w:rPr>
          <w:b/>
          <w:color w:val="000000"/>
          <w:sz w:val="22"/>
          <w:szCs w:val="22"/>
          <w:lang w:eastAsia="en-US"/>
        </w:rPr>
        <w:tab/>
        <w:t xml:space="preserve"> </w:t>
      </w:r>
      <w:proofErr w:type="spellStart"/>
      <w:r w:rsidRPr="00E97E72">
        <w:rPr>
          <w:b/>
          <w:sz w:val="22"/>
          <w:szCs w:val="22"/>
          <w:lang w:eastAsia="en-US"/>
        </w:rPr>
        <w:t>mrtbrkb</w:t>
      </w:r>
      <w:proofErr w:type="spellEnd"/>
      <w:r w:rsidRPr="00E97E72">
        <w:rPr>
          <w:b/>
          <w:sz w:val="22"/>
          <w:szCs w:val="22"/>
          <w:lang w:eastAsia="en-US"/>
        </w:rPr>
        <w:t xml:space="preserve"> </w:t>
      </w:r>
    </w:p>
    <w:p w:rsidR="00E97E72" w:rsidRPr="00E97E72" w:rsidRDefault="00E97E72" w:rsidP="00E97E72">
      <w:pPr>
        <w:rPr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 xml:space="preserve"> </w:t>
      </w:r>
      <w:r w:rsidRPr="00E97E72">
        <w:rPr>
          <w:color w:val="000000"/>
          <w:sz w:val="22"/>
          <w:szCs w:val="22"/>
          <w:lang w:eastAsia="en-US"/>
        </w:rPr>
        <w:t>Bankovní spojení:</w:t>
      </w:r>
      <w:r w:rsidRPr="00E97E72">
        <w:rPr>
          <w:color w:val="000000"/>
          <w:sz w:val="22"/>
          <w:szCs w:val="22"/>
          <w:lang w:eastAsia="en-US"/>
        </w:rPr>
        <w:tab/>
        <w:t xml:space="preserve"> Česká spořitelna a. s.</w:t>
      </w:r>
    </w:p>
    <w:p w:rsidR="00E97E72" w:rsidRPr="00E97E72" w:rsidRDefault="00E97E72" w:rsidP="00E97E72">
      <w:pPr>
        <w:tabs>
          <w:tab w:val="left" w:pos="0"/>
        </w:tabs>
        <w:rPr>
          <w:color w:val="000000"/>
          <w:sz w:val="22"/>
          <w:szCs w:val="22"/>
          <w:lang w:eastAsia="en-US"/>
        </w:rPr>
      </w:pPr>
      <w:r w:rsidRPr="00E97E72">
        <w:rPr>
          <w:color w:val="000000"/>
          <w:sz w:val="22"/>
          <w:szCs w:val="22"/>
          <w:lang w:eastAsia="en-US"/>
        </w:rPr>
        <w:t xml:space="preserve"> číslo účtu:</w:t>
      </w:r>
      <w:r w:rsidRPr="00E97E72">
        <w:rPr>
          <w:color w:val="000000"/>
          <w:sz w:val="22"/>
          <w:szCs w:val="22"/>
          <w:lang w:eastAsia="en-US"/>
        </w:rPr>
        <w:tab/>
      </w:r>
      <w:r w:rsidRPr="00E97E72">
        <w:rPr>
          <w:color w:val="000000"/>
          <w:sz w:val="22"/>
          <w:szCs w:val="22"/>
          <w:lang w:eastAsia="en-US"/>
        </w:rPr>
        <w:tab/>
        <w:t xml:space="preserve"> 27-1505517309/0800</w:t>
      </w:r>
    </w:p>
    <w:p w:rsidR="00E97E72" w:rsidRPr="00E97E72" w:rsidRDefault="00E97E72" w:rsidP="00E97E72">
      <w:pPr>
        <w:tabs>
          <w:tab w:val="left" w:pos="0"/>
        </w:tabs>
        <w:rPr>
          <w:b/>
          <w:color w:val="000000"/>
          <w:sz w:val="22"/>
          <w:szCs w:val="22"/>
          <w:lang w:eastAsia="en-US"/>
        </w:rPr>
      </w:pPr>
      <w:r w:rsidRPr="00E97E72">
        <w:rPr>
          <w:color w:val="000000"/>
          <w:sz w:val="22"/>
          <w:szCs w:val="22"/>
          <w:lang w:eastAsia="en-US"/>
        </w:rPr>
        <w:t xml:space="preserve"> (dále jen „Poskytovatel“)</w:t>
      </w:r>
    </w:p>
    <w:p w:rsidR="00E97E72" w:rsidRPr="00E97E72" w:rsidRDefault="00E97E72" w:rsidP="00E97E72">
      <w:pPr>
        <w:tabs>
          <w:tab w:val="left" w:pos="0"/>
        </w:tabs>
        <w:rPr>
          <w:b/>
          <w:color w:val="000000"/>
          <w:sz w:val="22"/>
          <w:szCs w:val="22"/>
          <w:lang w:eastAsia="en-US"/>
        </w:rPr>
      </w:pPr>
    </w:p>
    <w:p w:rsidR="00E97E72" w:rsidRPr="00E97E72" w:rsidRDefault="00E97E72" w:rsidP="00E97E72">
      <w:pPr>
        <w:tabs>
          <w:tab w:val="left" w:pos="0"/>
        </w:tabs>
        <w:rPr>
          <w:b/>
          <w:sz w:val="22"/>
          <w:szCs w:val="22"/>
          <w:lang w:eastAsia="en-US"/>
        </w:rPr>
      </w:pPr>
      <w:r w:rsidRPr="00E97E72">
        <w:rPr>
          <w:b/>
          <w:color w:val="000000"/>
          <w:sz w:val="22"/>
          <w:szCs w:val="22"/>
          <w:lang w:eastAsia="en-US"/>
        </w:rPr>
        <w:t>a</w:t>
      </w:r>
    </w:p>
    <w:p w:rsidR="00E97E72" w:rsidRPr="00E97E72" w:rsidRDefault="00E97E72" w:rsidP="00E97E72">
      <w:pPr>
        <w:tabs>
          <w:tab w:val="left" w:pos="0"/>
        </w:tabs>
        <w:rPr>
          <w:b/>
          <w:sz w:val="22"/>
          <w:szCs w:val="22"/>
          <w:lang w:eastAsia="en-US"/>
        </w:rPr>
      </w:pPr>
    </w:p>
    <w:p w:rsidR="00E97E72" w:rsidRPr="00E97E72" w:rsidRDefault="00E97E72" w:rsidP="00E97E72">
      <w:pPr>
        <w:tabs>
          <w:tab w:val="left" w:pos="0"/>
        </w:tabs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 xml:space="preserve"> Statutární město Olomouc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13"/>
      </w:tblGrid>
      <w:tr w:rsidR="00E97E72" w:rsidRPr="00E97E72" w:rsidTr="00D4506F">
        <w:tc>
          <w:tcPr>
            <w:tcW w:w="2127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Se sídlem</w:t>
            </w:r>
          </w:p>
        </w:tc>
        <w:tc>
          <w:tcPr>
            <w:tcW w:w="7013" w:type="dxa"/>
          </w:tcPr>
          <w:p w:rsidR="00E97E72" w:rsidRPr="00E97E72" w:rsidRDefault="00E97E72" w:rsidP="00E97E72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 xml:space="preserve">Horní náměstí </w:t>
            </w:r>
            <w:proofErr w:type="gramStart"/>
            <w:r w:rsidRPr="00E97E72">
              <w:rPr>
                <w:sz w:val="22"/>
                <w:szCs w:val="22"/>
                <w:lang w:eastAsia="en-US"/>
              </w:rPr>
              <w:t>č.p.</w:t>
            </w:r>
            <w:proofErr w:type="gramEnd"/>
            <w:r w:rsidRPr="00E97E72">
              <w:rPr>
                <w:sz w:val="22"/>
                <w:szCs w:val="22"/>
                <w:lang w:eastAsia="en-US"/>
              </w:rPr>
              <w:t>583, 779 11 Olomouc</w:t>
            </w:r>
          </w:p>
        </w:tc>
      </w:tr>
      <w:tr w:rsidR="00E97E72" w:rsidRPr="00E97E72" w:rsidTr="00D4506F">
        <w:tc>
          <w:tcPr>
            <w:tcW w:w="2127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7013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00299308</w:t>
            </w:r>
          </w:p>
        </w:tc>
      </w:tr>
      <w:tr w:rsidR="00E97E72" w:rsidRPr="00E97E72" w:rsidTr="00D4506F">
        <w:tc>
          <w:tcPr>
            <w:tcW w:w="2127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7013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CZ 00299308</w:t>
            </w:r>
          </w:p>
        </w:tc>
      </w:tr>
      <w:tr w:rsidR="00E97E72" w:rsidRPr="00E97E72" w:rsidTr="00D4506F">
        <w:trPr>
          <w:trHeight w:val="143"/>
        </w:trPr>
        <w:tc>
          <w:tcPr>
            <w:tcW w:w="2127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 xml:space="preserve">Zastoupené </w:t>
            </w:r>
          </w:p>
        </w:tc>
        <w:tc>
          <w:tcPr>
            <w:tcW w:w="7013" w:type="dxa"/>
          </w:tcPr>
          <w:p w:rsidR="00E97E72" w:rsidRPr="00E97E72" w:rsidRDefault="00E97E72" w:rsidP="00E97E72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 xml:space="preserve">Mgr. Miroslavem </w:t>
            </w:r>
            <w:proofErr w:type="spellStart"/>
            <w:r w:rsidRPr="00E97E72">
              <w:rPr>
                <w:sz w:val="22"/>
                <w:szCs w:val="22"/>
                <w:lang w:eastAsia="en-US"/>
              </w:rPr>
              <w:t>Žbánkem</w:t>
            </w:r>
            <w:proofErr w:type="spellEnd"/>
            <w:r w:rsidRPr="00E97E72">
              <w:rPr>
                <w:sz w:val="22"/>
                <w:szCs w:val="22"/>
                <w:lang w:eastAsia="en-US"/>
              </w:rPr>
              <w:t>, MPA</w:t>
            </w:r>
          </w:p>
        </w:tc>
      </w:tr>
    </w:tbl>
    <w:p w:rsidR="00E97E72" w:rsidRPr="00E97E72" w:rsidRDefault="00E97E72" w:rsidP="00E97E72">
      <w:pPr>
        <w:rPr>
          <w:b/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 xml:space="preserve"> ID datové schránky: </w:t>
      </w:r>
      <w:r w:rsidRPr="00E97E72">
        <w:rPr>
          <w:sz w:val="22"/>
          <w:szCs w:val="22"/>
          <w:lang w:eastAsia="en-US"/>
        </w:rPr>
        <w:tab/>
        <w:t xml:space="preserve"> </w:t>
      </w:r>
      <w:proofErr w:type="spellStart"/>
      <w:r w:rsidRPr="00E97E72">
        <w:rPr>
          <w:b/>
          <w:sz w:val="22"/>
          <w:szCs w:val="22"/>
          <w:lang w:eastAsia="en-US"/>
        </w:rPr>
        <w:t>kazbzri</w:t>
      </w:r>
      <w:proofErr w:type="spellEnd"/>
    </w:p>
    <w:p w:rsidR="00E97E72" w:rsidRPr="00E97E72" w:rsidRDefault="00E97E72" w:rsidP="00E97E72">
      <w:pPr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 xml:space="preserve"> Bankovní spojení: </w:t>
      </w:r>
      <w:r w:rsidRPr="00E97E72">
        <w:rPr>
          <w:sz w:val="22"/>
          <w:szCs w:val="22"/>
          <w:lang w:eastAsia="en-US"/>
        </w:rPr>
        <w:tab/>
        <w:t xml:space="preserve"> Česká spořitelna, a.s., pobočka Olomouc</w:t>
      </w:r>
    </w:p>
    <w:p w:rsidR="00E97E72" w:rsidRPr="00E97E72" w:rsidRDefault="00E97E72" w:rsidP="00E97E72">
      <w:pPr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 xml:space="preserve"> číslo příjmového </w:t>
      </w:r>
      <w:proofErr w:type="gramStart"/>
      <w:r w:rsidRPr="00E97E72">
        <w:rPr>
          <w:sz w:val="22"/>
          <w:szCs w:val="22"/>
          <w:lang w:eastAsia="en-US"/>
        </w:rPr>
        <w:t>účtu:  19</w:t>
      </w:r>
      <w:proofErr w:type="gramEnd"/>
      <w:r w:rsidRPr="00E97E72">
        <w:rPr>
          <w:sz w:val="22"/>
          <w:szCs w:val="22"/>
          <w:lang w:eastAsia="en-US"/>
        </w:rPr>
        <w:t>-1801731369/0800</w:t>
      </w:r>
    </w:p>
    <w:p w:rsidR="00E97E72" w:rsidRPr="00E97E72" w:rsidRDefault="00E97E72" w:rsidP="00E97E72">
      <w:pPr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 xml:space="preserve"> (dále také jen „Příjemce“) </w:t>
      </w:r>
    </w:p>
    <w:p w:rsidR="00E97E72" w:rsidRPr="00E97E72" w:rsidRDefault="00E97E72" w:rsidP="00E97E72">
      <w:pPr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 xml:space="preserve"> </w:t>
      </w:r>
    </w:p>
    <w:p w:rsidR="00E97E72" w:rsidRPr="00E97E72" w:rsidRDefault="00E97E72" w:rsidP="00E97E72">
      <w:pPr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(společně dále jen jako „</w:t>
      </w:r>
      <w:r w:rsidRPr="00E97E72">
        <w:rPr>
          <w:b/>
          <w:sz w:val="22"/>
          <w:szCs w:val="22"/>
          <w:lang w:eastAsia="en-US"/>
        </w:rPr>
        <w:t>smluvní strany</w:t>
      </w:r>
      <w:r w:rsidRPr="00E97E72">
        <w:rPr>
          <w:sz w:val="22"/>
          <w:szCs w:val="22"/>
          <w:lang w:eastAsia="en-US"/>
        </w:rPr>
        <w:t>“)</w:t>
      </w:r>
    </w:p>
    <w:p w:rsidR="00E97E72" w:rsidRPr="00E97E72" w:rsidRDefault="00E97E72" w:rsidP="00E97E72">
      <w:pPr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jc w:val="both"/>
        <w:rPr>
          <w:rFonts w:eastAsia="Calibri"/>
          <w:b/>
          <w:sz w:val="22"/>
          <w:szCs w:val="22"/>
        </w:rPr>
      </w:pPr>
    </w:p>
    <w:p w:rsidR="00E97E72" w:rsidRPr="00E97E72" w:rsidRDefault="00E97E72" w:rsidP="00E97E72">
      <w:pPr>
        <w:jc w:val="center"/>
        <w:rPr>
          <w:rFonts w:eastAsia="Calibri"/>
          <w:sz w:val="22"/>
          <w:szCs w:val="22"/>
        </w:rPr>
      </w:pPr>
      <w:r w:rsidRPr="00E97E72">
        <w:rPr>
          <w:rFonts w:eastAsia="Calibri"/>
          <w:sz w:val="22"/>
          <w:szCs w:val="22"/>
        </w:rPr>
        <w:t xml:space="preserve">uzavírají tuto veřejnoprávní smlouvu o poskytnutí dotace na vypracování koncepční části Integrované strategie ITI Olomoucké aglomerace pro období 2021-2027 podle § 10a zákona č. 250/2000 Sb., o rozpočtových pravidlech územních rozpočtů, ve znění pozdějších předpisů a podle § </w:t>
      </w:r>
      <w:smartTag w:uri="urn:schemas-microsoft-com:office:smarttags" w:element="metricconverter">
        <w:smartTagPr>
          <w:attr w:name="ProductID" w:val="159 a"/>
        </w:smartTagPr>
        <w:r w:rsidRPr="00E97E72">
          <w:rPr>
            <w:rFonts w:eastAsia="Calibri"/>
            <w:sz w:val="22"/>
            <w:szCs w:val="22"/>
          </w:rPr>
          <w:t>159 a</w:t>
        </w:r>
      </w:smartTag>
      <w:r w:rsidRPr="00E97E72">
        <w:rPr>
          <w:rFonts w:eastAsia="Calibri"/>
          <w:sz w:val="22"/>
          <w:szCs w:val="22"/>
        </w:rPr>
        <w:t xml:space="preserve"> násl. zákona č. 500/2004 Sb., správního řádu, ve znění pozdějších předpisů (dále jen „smlouva“):</w:t>
      </w:r>
    </w:p>
    <w:p w:rsidR="00E97E72" w:rsidRPr="00E97E72" w:rsidRDefault="00E97E72" w:rsidP="00E97E72">
      <w:pPr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>Článek I.</w:t>
      </w: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>Účel a předmět smlouvy</w:t>
      </w: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1"/>
        </w:numPr>
        <w:ind w:left="360"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S ohledem na přípravu Olomoucké aglomerace na nové programové období 2021+, bude město Olomouc ve spolupráci s dalšími partnery (</w:t>
      </w:r>
      <w:proofErr w:type="spellStart"/>
      <w:r w:rsidRPr="00E97E72">
        <w:rPr>
          <w:sz w:val="22"/>
          <w:szCs w:val="22"/>
          <w:lang w:eastAsia="en-US"/>
        </w:rPr>
        <w:t>stakeholdery</w:t>
      </w:r>
      <w:proofErr w:type="spellEnd"/>
      <w:r w:rsidRPr="00E97E72">
        <w:rPr>
          <w:sz w:val="22"/>
          <w:szCs w:val="22"/>
          <w:lang w:eastAsia="en-US"/>
        </w:rPr>
        <w:t>) v území zpracovávat Integrovanou strategii ITI Olomoucké aglomerace pro období 2021-2027 (dále také jen „Integrovaná strategie“). Cílem Integrované strategie je umožnit v maximálně možné míře čerpání finančních prostředků z jednotlivých operačních programů na realizaci integrovaných projektů naplňujících integrovanou strategii.</w:t>
      </w:r>
    </w:p>
    <w:p w:rsidR="00E97E72" w:rsidRPr="00E97E72" w:rsidRDefault="00E97E72" w:rsidP="00E97E72">
      <w:pPr>
        <w:ind w:left="360"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1"/>
        </w:numPr>
        <w:ind w:left="360"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Příjemce požádal Poskytovatele o dotaci na základě žádosti o poskytnutí dotace, která je přílohou č. 1 smlouvy a je její nedílnou součástí.</w:t>
      </w:r>
    </w:p>
    <w:p w:rsidR="00E97E72" w:rsidRPr="00E97E72" w:rsidRDefault="00E97E72" w:rsidP="00E97E72">
      <w:pPr>
        <w:ind w:left="360" w:hanging="360"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1"/>
        </w:numPr>
        <w:ind w:left="360"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Účelem poskytnutí dotace je částečná úhrada nákladů na vypracování koncepční části Integrované strategie ITI Olomoucké aglomerace pro období 2021-2027 v rozsahu analytické a strategické části (dále také jen „Akce“).</w:t>
      </w:r>
    </w:p>
    <w:p w:rsidR="00E97E72" w:rsidRPr="00E97E72" w:rsidRDefault="00E97E72" w:rsidP="00E97E72">
      <w:pPr>
        <w:ind w:left="360" w:hanging="360"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1"/>
        </w:numPr>
        <w:ind w:left="360"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Poskytovatel se touto smlouvou zavazuje poskytnout Příjemci dotaci na vypracování koncepční části Integrované strategie ITI Olomoucké aglomerace pro období 2021-2027. Její vypracování bude předmětem veřejné zakázky, kterou za tímto účelem vyhlásí Příjemce.</w:t>
      </w:r>
    </w:p>
    <w:p w:rsidR="00E97E72" w:rsidRPr="00E97E72" w:rsidRDefault="00E97E72" w:rsidP="00E97E72">
      <w:pPr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1"/>
        </w:numPr>
        <w:ind w:left="360"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 xml:space="preserve">Poskytovatel bere na vědomí, že Příjemce vynaloží na úhradu </w:t>
      </w:r>
      <w:r w:rsidRPr="00E97E72">
        <w:rPr>
          <w:snapToGrid w:val="0"/>
          <w:sz w:val="22"/>
          <w:szCs w:val="22"/>
          <w:lang w:eastAsia="en-US"/>
        </w:rPr>
        <w:t xml:space="preserve">celkových uskutečněných nákladů na </w:t>
      </w:r>
      <w:r w:rsidRPr="00E97E72">
        <w:rPr>
          <w:sz w:val="22"/>
          <w:szCs w:val="22"/>
          <w:lang w:eastAsia="en-US"/>
        </w:rPr>
        <w:t xml:space="preserve">Akci </w:t>
      </w:r>
      <w:r w:rsidRPr="00E97E72">
        <w:rPr>
          <w:snapToGrid w:val="0"/>
          <w:sz w:val="22"/>
          <w:szCs w:val="22"/>
          <w:lang w:eastAsia="en-US"/>
        </w:rPr>
        <w:t>také finanční prostředky z vlastních zdrojů či z jiných dotací.</w:t>
      </w:r>
    </w:p>
    <w:p w:rsidR="00E97E72" w:rsidRPr="00E97E72" w:rsidRDefault="00E97E72" w:rsidP="00E97E72">
      <w:pPr>
        <w:ind w:left="708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1"/>
        </w:numPr>
        <w:ind w:left="360"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Příjemce dotaci přijímá a zavazuje se ji použít výlučně v souladu s účelem poskytnutí dotace, v souladu s podmínkami stanovenými touto smlouvou a obecně závaznými právními předpisy. Dotace musí být použita hospodárně.</w:t>
      </w:r>
    </w:p>
    <w:p w:rsidR="00E97E72" w:rsidRPr="00E97E72" w:rsidRDefault="00E97E72" w:rsidP="00E97E72">
      <w:pPr>
        <w:ind w:left="708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1"/>
        </w:numPr>
        <w:ind w:left="360"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Doba, v níž má být účelu dosaženo, je do 31. 12. 2021.</w:t>
      </w:r>
    </w:p>
    <w:p w:rsidR="00E97E72" w:rsidRPr="00E97E72" w:rsidRDefault="00E97E72" w:rsidP="00E97E72">
      <w:pPr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ind w:left="360" w:hanging="360"/>
        <w:contextualSpacing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>Článek II.</w:t>
      </w: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>Výše a poskytování dotace, kontrola dotace</w:t>
      </w: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2"/>
        </w:numPr>
        <w:ind w:left="360"/>
        <w:jc w:val="both"/>
        <w:rPr>
          <w:color w:val="000000"/>
          <w:sz w:val="22"/>
          <w:szCs w:val="22"/>
          <w:lang w:eastAsia="en-US"/>
        </w:rPr>
      </w:pPr>
      <w:r w:rsidRPr="00E97E72">
        <w:rPr>
          <w:color w:val="000000"/>
          <w:sz w:val="22"/>
          <w:szCs w:val="22"/>
          <w:lang w:eastAsia="en-US"/>
        </w:rPr>
        <w:t xml:space="preserve">Dotace bude poskytnuta ve výši </w:t>
      </w:r>
      <w:r w:rsidRPr="00E97E72">
        <w:rPr>
          <w:b/>
          <w:color w:val="000000"/>
          <w:sz w:val="22"/>
          <w:szCs w:val="22"/>
          <w:lang w:eastAsia="en-US"/>
        </w:rPr>
        <w:t>nepřesahující 100.000,- Kč</w:t>
      </w:r>
      <w:r w:rsidRPr="00E97E72">
        <w:rPr>
          <w:color w:val="000000"/>
          <w:sz w:val="22"/>
          <w:szCs w:val="22"/>
          <w:lang w:eastAsia="en-US"/>
        </w:rPr>
        <w:t xml:space="preserve"> (slovy: </w:t>
      </w:r>
      <w:proofErr w:type="spellStart"/>
      <w:r w:rsidRPr="00E97E72">
        <w:rPr>
          <w:color w:val="000000"/>
          <w:sz w:val="22"/>
          <w:szCs w:val="22"/>
          <w:lang w:eastAsia="en-US"/>
        </w:rPr>
        <w:t>stotisíckorunčeských</w:t>
      </w:r>
      <w:proofErr w:type="spellEnd"/>
      <w:r w:rsidRPr="00E97E72">
        <w:rPr>
          <w:color w:val="000000"/>
          <w:sz w:val="22"/>
          <w:szCs w:val="22"/>
          <w:lang w:eastAsia="en-US"/>
        </w:rPr>
        <w:t>). Konkrétní výše dotace je odvislá od částky, kterou předloží vítězný účastník veřejné zakázky na vypracování Integrované strategie, a na rozsahu spolufinancování z Operačního programu Technická pomoc. Konkrétní výše dotace bude obsažena ve výzvě dle následujícího odstavce smlouvy.</w:t>
      </w:r>
    </w:p>
    <w:p w:rsidR="00E97E72" w:rsidRPr="00E97E72" w:rsidRDefault="00E97E72" w:rsidP="00E97E72">
      <w:pPr>
        <w:ind w:left="360" w:hanging="360"/>
        <w:jc w:val="both"/>
        <w:rPr>
          <w:color w:val="000000"/>
          <w:sz w:val="22"/>
          <w:szCs w:val="22"/>
          <w:lang w:eastAsia="en-US"/>
        </w:rPr>
      </w:pPr>
    </w:p>
    <w:p w:rsidR="00E97E72" w:rsidRPr="00E97E72" w:rsidRDefault="00E97E72" w:rsidP="00E97E72">
      <w:pPr>
        <w:ind w:left="360" w:hanging="360"/>
        <w:jc w:val="both"/>
        <w:rPr>
          <w:color w:val="000000"/>
          <w:sz w:val="22"/>
          <w:szCs w:val="22"/>
          <w:lang w:eastAsia="en-US"/>
        </w:rPr>
      </w:pPr>
      <w:r w:rsidRPr="00E97E72">
        <w:rPr>
          <w:color w:val="000000"/>
          <w:sz w:val="22"/>
          <w:szCs w:val="22"/>
          <w:lang w:eastAsia="en-US"/>
        </w:rPr>
        <w:t xml:space="preserve">2. </w:t>
      </w:r>
      <w:r w:rsidRPr="00E97E72">
        <w:rPr>
          <w:color w:val="000000"/>
          <w:sz w:val="22"/>
          <w:szCs w:val="22"/>
          <w:lang w:eastAsia="en-US"/>
        </w:rPr>
        <w:tab/>
        <w:t>Smluvní strany se dohodly, že dotace bude v plné výši poskytnuta převodem na bankovní účet Příjemce uvedený v záhlaví této smlouvy, a to do 60 dnů od dne, kdy bude Poskytovateli doručena výzva Příjemce o zaslání částky dotace. Předpokládaný termín odeslání výzvy je červenec 2021.</w:t>
      </w:r>
    </w:p>
    <w:p w:rsidR="00E97E72" w:rsidRPr="00E97E72" w:rsidRDefault="00E97E72" w:rsidP="00E97E72">
      <w:pPr>
        <w:jc w:val="both"/>
        <w:rPr>
          <w:snapToGrid w:val="0"/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4"/>
        </w:numPr>
        <w:tabs>
          <w:tab w:val="num" w:pos="360"/>
        </w:tabs>
        <w:ind w:left="360"/>
        <w:contextualSpacing/>
        <w:jc w:val="both"/>
        <w:rPr>
          <w:snapToGrid w:val="0"/>
          <w:sz w:val="22"/>
          <w:szCs w:val="22"/>
          <w:lang w:eastAsia="en-US"/>
        </w:rPr>
      </w:pPr>
      <w:r w:rsidRPr="00E97E72">
        <w:rPr>
          <w:snapToGrid w:val="0"/>
          <w:sz w:val="22"/>
          <w:szCs w:val="22"/>
          <w:lang w:eastAsia="en-US"/>
        </w:rPr>
        <w:t>Příjemce je povinen nejpozději do 31. 3. 2022 předložit Poskytovateli vyúčtování dotace.</w:t>
      </w:r>
    </w:p>
    <w:p w:rsidR="00E97E72" w:rsidRPr="00E97E72" w:rsidRDefault="00E97E72" w:rsidP="00E97E72">
      <w:pPr>
        <w:ind w:left="360"/>
        <w:contextualSpacing/>
        <w:jc w:val="both"/>
        <w:rPr>
          <w:snapToGrid w:val="0"/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4"/>
        </w:numPr>
        <w:tabs>
          <w:tab w:val="num" w:pos="360"/>
        </w:tabs>
        <w:ind w:left="360"/>
        <w:contextualSpacing/>
        <w:jc w:val="both"/>
        <w:rPr>
          <w:snapToGrid w:val="0"/>
          <w:sz w:val="22"/>
          <w:szCs w:val="22"/>
          <w:lang w:eastAsia="en-US"/>
        </w:rPr>
      </w:pPr>
      <w:r w:rsidRPr="00E97E72">
        <w:rPr>
          <w:snapToGrid w:val="0"/>
          <w:sz w:val="22"/>
          <w:szCs w:val="22"/>
          <w:lang w:eastAsia="en-US"/>
        </w:rPr>
        <w:t>Příjemce je povinen předložit vyúčtování dotace dle odst. 3 tohoto článku smlouvy s těmito náležitostmi:</w:t>
      </w:r>
    </w:p>
    <w:p w:rsidR="00E97E72" w:rsidRPr="00E97E72" w:rsidRDefault="00E97E72" w:rsidP="00E97E72">
      <w:pPr>
        <w:numPr>
          <w:ilvl w:val="0"/>
          <w:numId w:val="43"/>
        </w:numPr>
        <w:contextualSpacing/>
        <w:jc w:val="both"/>
        <w:rPr>
          <w:snapToGrid w:val="0"/>
          <w:sz w:val="22"/>
          <w:szCs w:val="22"/>
          <w:lang w:eastAsia="en-US"/>
        </w:rPr>
      </w:pPr>
      <w:r w:rsidRPr="00E97E72">
        <w:rPr>
          <w:snapToGrid w:val="0"/>
          <w:sz w:val="22"/>
          <w:szCs w:val="22"/>
          <w:lang w:eastAsia="en-US"/>
        </w:rPr>
        <w:t xml:space="preserve">soupis celkových uskutečněných nákladů Akce doložený kopiemi dokladů prokazujících tyto náklady, </w:t>
      </w:r>
    </w:p>
    <w:p w:rsidR="00E97E72" w:rsidRPr="00E97E72" w:rsidRDefault="00E97E72" w:rsidP="00E97E72">
      <w:pPr>
        <w:numPr>
          <w:ilvl w:val="0"/>
          <w:numId w:val="43"/>
        </w:numPr>
        <w:contextualSpacing/>
        <w:jc w:val="both"/>
        <w:rPr>
          <w:snapToGrid w:val="0"/>
          <w:sz w:val="22"/>
          <w:szCs w:val="22"/>
          <w:lang w:eastAsia="en-US"/>
        </w:rPr>
      </w:pPr>
      <w:r w:rsidRPr="00E97E72">
        <w:rPr>
          <w:snapToGrid w:val="0"/>
          <w:sz w:val="22"/>
          <w:szCs w:val="22"/>
          <w:lang w:eastAsia="en-US"/>
        </w:rPr>
        <w:t xml:space="preserve">soupis nákladů Akce hrazených z dotace podle této smlouvy, </w:t>
      </w:r>
    </w:p>
    <w:p w:rsidR="00E97E72" w:rsidRPr="00E97E72" w:rsidRDefault="00E97E72" w:rsidP="00E97E72">
      <w:pPr>
        <w:numPr>
          <w:ilvl w:val="0"/>
          <w:numId w:val="43"/>
        </w:numPr>
        <w:contextualSpacing/>
        <w:jc w:val="both"/>
        <w:rPr>
          <w:snapToGrid w:val="0"/>
          <w:sz w:val="22"/>
          <w:szCs w:val="22"/>
          <w:lang w:eastAsia="en-US"/>
        </w:rPr>
      </w:pPr>
      <w:r w:rsidRPr="00E97E72">
        <w:rPr>
          <w:snapToGrid w:val="0"/>
          <w:sz w:val="22"/>
          <w:szCs w:val="22"/>
          <w:lang w:eastAsia="en-US"/>
        </w:rPr>
        <w:t>údaje o spolufinancování celkových uskutečněných nákladů Akce z dotace podle této smlouvy, z vlastních zdrojů Příjemce a z jiných dotačních prostředků než poskytnutých podle této smlouvy v členění: výčet všech subjektů, které poskytly finanční zdroje na úhradu celkových uskutečněných nákladů Akce, výše těchto finančních zdrojů, podíl těchto subjektů na financování celkových uskutečněných nákladů Akce vyjádřený v procentech.</w:t>
      </w:r>
    </w:p>
    <w:p w:rsidR="00E97E72" w:rsidRPr="00E97E72" w:rsidRDefault="00E97E72" w:rsidP="00E97E72">
      <w:pPr>
        <w:ind w:left="360" w:hanging="360"/>
        <w:contextualSpacing/>
        <w:jc w:val="both"/>
        <w:rPr>
          <w:snapToGrid w:val="0"/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4"/>
        </w:numPr>
        <w:tabs>
          <w:tab w:val="num" w:pos="360"/>
        </w:tabs>
        <w:ind w:left="360"/>
        <w:jc w:val="both"/>
        <w:rPr>
          <w:color w:val="000000"/>
          <w:sz w:val="22"/>
          <w:szCs w:val="22"/>
          <w:lang w:eastAsia="en-US"/>
        </w:rPr>
      </w:pPr>
      <w:r w:rsidRPr="00E97E72">
        <w:rPr>
          <w:color w:val="000000"/>
          <w:sz w:val="22"/>
          <w:szCs w:val="22"/>
          <w:lang w:eastAsia="en-US"/>
        </w:rPr>
        <w:t xml:space="preserve">V případě, že </w:t>
      </w:r>
      <w:r w:rsidRPr="00E97E72">
        <w:rPr>
          <w:snapToGrid w:val="0"/>
          <w:sz w:val="22"/>
          <w:szCs w:val="22"/>
          <w:lang w:eastAsia="en-US"/>
        </w:rPr>
        <w:t>celkové uskutečněné náklady na Akci budou vyšší než příjmy od všech poskytovatelů dotací na Akci, Příjemce uhradí nepokryté náklady z vlastních zdrojů.</w:t>
      </w:r>
    </w:p>
    <w:p w:rsidR="00E97E72" w:rsidRPr="00E97E72" w:rsidRDefault="00E97E72" w:rsidP="00E97E72">
      <w:pPr>
        <w:jc w:val="both"/>
        <w:rPr>
          <w:color w:val="000000"/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4"/>
        </w:numPr>
        <w:tabs>
          <w:tab w:val="num" w:pos="360"/>
        </w:tabs>
        <w:ind w:left="360"/>
        <w:jc w:val="both"/>
        <w:rPr>
          <w:color w:val="000000"/>
          <w:sz w:val="22"/>
          <w:szCs w:val="22"/>
          <w:lang w:eastAsia="en-US"/>
        </w:rPr>
      </w:pPr>
      <w:r w:rsidRPr="00E97E72">
        <w:rPr>
          <w:color w:val="000000"/>
          <w:sz w:val="22"/>
          <w:szCs w:val="22"/>
          <w:lang w:eastAsia="en-US"/>
        </w:rPr>
        <w:t>V případě, že poskytnutá dotace nebude zcela vyčerpána, Příjemce se zavazuje takto vzniklou nevyčerpanou část dotace vrátit bezhotovostním převodem na bankovní účet Poskytovatele, a to do 30 dnů od předložení vyúčtování.</w:t>
      </w:r>
    </w:p>
    <w:p w:rsidR="00E97E72" w:rsidRPr="00E97E72" w:rsidRDefault="00E97E72" w:rsidP="00E97E72">
      <w:pPr>
        <w:ind w:left="360" w:hanging="360"/>
        <w:contextualSpacing/>
        <w:jc w:val="both"/>
        <w:rPr>
          <w:snapToGrid w:val="0"/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4"/>
        </w:numPr>
        <w:tabs>
          <w:tab w:val="num" w:pos="360"/>
        </w:tabs>
        <w:ind w:left="360"/>
        <w:contextualSpacing/>
        <w:jc w:val="both"/>
        <w:rPr>
          <w:color w:val="000000"/>
          <w:sz w:val="22"/>
          <w:szCs w:val="22"/>
        </w:rPr>
      </w:pPr>
      <w:r w:rsidRPr="00E97E72">
        <w:rPr>
          <w:snapToGrid w:val="0"/>
          <w:sz w:val="22"/>
          <w:szCs w:val="22"/>
          <w:lang w:eastAsia="en-US"/>
        </w:rPr>
        <w:t>Poskytovatel je podle § 9 odst. 2 zákona č. 320/2001 Sb., o finanční kontrole ve veřejné správě a o změně některých zákonů (zákon o finanční kontrole), ve znění pozdějších předpisů, oprávněn provádět kontrolu využití poskytnuté dotace.</w:t>
      </w:r>
    </w:p>
    <w:p w:rsidR="00E97E72" w:rsidRPr="00E97E72" w:rsidRDefault="00E97E72" w:rsidP="00E97E72">
      <w:pPr>
        <w:ind w:left="708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4"/>
        </w:numPr>
        <w:tabs>
          <w:tab w:val="num" w:pos="360"/>
        </w:tabs>
        <w:ind w:left="360"/>
        <w:contextualSpacing/>
        <w:jc w:val="both"/>
        <w:rPr>
          <w:color w:val="000000"/>
          <w:sz w:val="22"/>
          <w:szCs w:val="22"/>
        </w:rPr>
      </w:pPr>
      <w:r w:rsidRPr="00E97E72">
        <w:rPr>
          <w:sz w:val="22"/>
          <w:szCs w:val="22"/>
          <w:lang w:eastAsia="en-US"/>
        </w:rPr>
        <w:t>Příjemce je současně zadavatelem veřejné zakázky podle zákona č. 134/2016 Sb., o zadávání veřejných zakázek, ve znění pozdějších předpisů, a zavazuje se tímto dodržet veškeré zákonné povinnosti s tím související.</w:t>
      </w:r>
    </w:p>
    <w:p w:rsidR="00E97E72" w:rsidRPr="00E97E72" w:rsidRDefault="00E97E72" w:rsidP="00E97E72">
      <w:pPr>
        <w:contextualSpacing/>
        <w:jc w:val="both"/>
        <w:rPr>
          <w:color w:val="000000"/>
          <w:sz w:val="22"/>
          <w:szCs w:val="22"/>
        </w:rPr>
      </w:pP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lastRenderedPageBreak/>
        <w:t>Článek III.</w:t>
      </w: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 xml:space="preserve">Změna a zánik smlouvy </w:t>
      </w:r>
    </w:p>
    <w:p w:rsidR="00E97E72" w:rsidRPr="00E97E72" w:rsidRDefault="00E97E72" w:rsidP="00E97E72">
      <w:pPr>
        <w:contextualSpacing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1"/>
          <w:numId w:val="38"/>
        </w:numPr>
        <w:ind w:left="360"/>
        <w:contextualSpacing/>
        <w:jc w:val="both"/>
        <w:rPr>
          <w:sz w:val="22"/>
          <w:szCs w:val="22"/>
        </w:rPr>
      </w:pPr>
      <w:r w:rsidRPr="00E97E72">
        <w:rPr>
          <w:sz w:val="22"/>
          <w:szCs w:val="22"/>
        </w:rPr>
        <w:t>Tato smlouva se uzavírá na dobu určitou do 31. 12. 2021.</w:t>
      </w:r>
    </w:p>
    <w:p w:rsidR="00E97E72" w:rsidRPr="00E97E72" w:rsidRDefault="00E97E72" w:rsidP="00E97E72">
      <w:pPr>
        <w:ind w:left="360"/>
        <w:contextualSpacing/>
        <w:jc w:val="both"/>
        <w:rPr>
          <w:sz w:val="22"/>
          <w:szCs w:val="22"/>
        </w:rPr>
      </w:pPr>
    </w:p>
    <w:p w:rsidR="00E97E72" w:rsidRPr="00E97E72" w:rsidRDefault="00E97E72" w:rsidP="00E97E72">
      <w:pPr>
        <w:numPr>
          <w:ilvl w:val="1"/>
          <w:numId w:val="38"/>
        </w:numPr>
        <w:ind w:left="360"/>
        <w:contextualSpacing/>
        <w:jc w:val="both"/>
        <w:rPr>
          <w:sz w:val="22"/>
          <w:szCs w:val="22"/>
        </w:rPr>
      </w:pPr>
      <w:r w:rsidRPr="00E97E72">
        <w:rPr>
          <w:sz w:val="22"/>
          <w:szCs w:val="22"/>
        </w:rPr>
        <w:t>Tuto smlouvu lze změnit nebo zrušit dohodou smluvních stran.</w:t>
      </w:r>
    </w:p>
    <w:p w:rsidR="00E97E72" w:rsidRPr="00E97E72" w:rsidRDefault="00E97E72" w:rsidP="00E97E72">
      <w:pPr>
        <w:ind w:left="360" w:hanging="360"/>
        <w:rPr>
          <w:sz w:val="22"/>
          <w:szCs w:val="22"/>
        </w:rPr>
      </w:pPr>
    </w:p>
    <w:p w:rsidR="00E97E72" w:rsidRPr="00E97E72" w:rsidRDefault="00E97E72" w:rsidP="00E97E72">
      <w:pPr>
        <w:numPr>
          <w:ilvl w:val="1"/>
          <w:numId w:val="38"/>
        </w:numPr>
        <w:ind w:left="360"/>
        <w:contextualSpacing/>
        <w:jc w:val="both"/>
        <w:rPr>
          <w:sz w:val="22"/>
          <w:szCs w:val="22"/>
        </w:rPr>
      </w:pPr>
      <w:r w:rsidRPr="00E97E72">
        <w:rPr>
          <w:sz w:val="22"/>
          <w:szCs w:val="22"/>
        </w:rPr>
        <w:t>Smluvní strana může podat písemný návrh na zrušení této smlouvy v případech uvedených v § 167 odst. 1 zákona č. 500/2004 Sb., správního řádu, ve znění pozdějších předpisů.</w:t>
      </w:r>
    </w:p>
    <w:p w:rsidR="00E97E72" w:rsidRPr="00E97E72" w:rsidRDefault="00E97E72" w:rsidP="00E97E72">
      <w:pPr>
        <w:ind w:left="360" w:hanging="360"/>
        <w:contextualSpacing/>
        <w:jc w:val="both"/>
        <w:rPr>
          <w:sz w:val="22"/>
          <w:szCs w:val="22"/>
        </w:rPr>
      </w:pPr>
    </w:p>
    <w:p w:rsidR="00E97E72" w:rsidRPr="00E97E72" w:rsidRDefault="00E97E72" w:rsidP="00E97E72">
      <w:pPr>
        <w:numPr>
          <w:ilvl w:val="1"/>
          <w:numId w:val="38"/>
        </w:numPr>
        <w:ind w:left="360"/>
        <w:contextualSpacing/>
        <w:jc w:val="both"/>
        <w:rPr>
          <w:sz w:val="22"/>
          <w:szCs w:val="22"/>
        </w:rPr>
      </w:pPr>
      <w:r w:rsidRPr="00E97E72">
        <w:rPr>
          <w:sz w:val="22"/>
          <w:szCs w:val="22"/>
        </w:rPr>
        <w:t>Při ukončení této smlouvy dohodou smluvních stran je Příjemce povinen vrátit poskytnuté peněžní prostředky nebo jejich část bezhotovostním převodem na účet Poskytovatele uvedený v záhlaví této smlouvy nejpozději do 90 dnů ode dne uzavření dohody o ukončení této smlouvy, nedohodnou-li se smluvní strany jinak.</w:t>
      </w:r>
    </w:p>
    <w:p w:rsidR="00E97E72" w:rsidRPr="00E97E72" w:rsidRDefault="00E97E72" w:rsidP="00E97E72">
      <w:pPr>
        <w:ind w:left="360" w:hanging="360"/>
        <w:contextualSpacing/>
        <w:jc w:val="both"/>
        <w:rPr>
          <w:sz w:val="22"/>
          <w:szCs w:val="22"/>
        </w:rPr>
      </w:pPr>
    </w:p>
    <w:p w:rsidR="00E97E72" w:rsidRPr="00E97E72" w:rsidRDefault="00E97E72" w:rsidP="00E97E72">
      <w:pPr>
        <w:numPr>
          <w:ilvl w:val="1"/>
          <w:numId w:val="38"/>
        </w:numPr>
        <w:ind w:left="360"/>
        <w:contextualSpacing/>
        <w:jc w:val="both"/>
        <w:rPr>
          <w:sz w:val="22"/>
          <w:szCs w:val="22"/>
        </w:rPr>
      </w:pPr>
      <w:r w:rsidRPr="00E97E72">
        <w:rPr>
          <w:sz w:val="22"/>
          <w:szCs w:val="22"/>
        </w:rPr>
        <w:t xml:space="preserve">Při zrušení této smlouvy podle § 167 správního řádu je Příjemce povinen vrátit poskytnuté peněžní prostředky nebo jejich část bezhotovostním převodem na účet Poskytovatele uvedený v záhlaví této smlouvy nejpozději do 90 dnů ode dne zániku smlouvy, nedohodnou-li se smluvní strany jinak. </w:t>
      </w:r>
    </w:p>
    <w:p w:rsidR="00E97E72" w:rsidRPr="00E97E72" w:rsidRDefault="00E97E72" w:rsidP="00E97E72">
      <w:pPr>
        <w:ind w:left="360" w:hanging="360"/>
        <w:rPr>
          <w:sz w:val="22"/>
          <w:szCs w:val="22"/>
        </w:rPr>
      </w:pPr>
    </w:p>
    <w:p w:rsidR="00E97E72" w:rsidRPr="00E97E72" w:rsidRDefault="00E97E72" w:rsidP="00E97E72">
      <w:pPr>
        <w:numPr>
          <w:ilvl w:val="1"/>
          <w:numId w:val="38"/>
        </w:numPr>
        <w:ind w:left="360"/>
        <w:contextualSpacing/>
        <w:jc w:val="both"/>
        <w:rPr>
          <w:sz w:val="22"/>
          <w:szCs w:val="22"/>
        </w:rPr>
      </w:pPr>
      <w:r w:rsidRPr="00E97E72">
        <w:rPr>
          <w:sz w:val="22"/>
          <w:szCs w:val="22"/>
        </w:rPr>
        <w:t xml:space="preserve">Při předčasném ukončení smlouvy, je Příjemce povinen předložit vyúčtování dotace s náležitostmi dle čl. II odst. 4 ve lhůtě 90 dnů ode dne, ke kterému byla smlouva ukončena. </w:t>
      </w:r>
    </w:p>
    <w:p w:rsidR="00E97E72" w:rsidRPr="00E97E72" w:rsidRDefault="00E97E72" w:rsidP="00E97E72">
      <w:pPr>
        <w:ind w:left="360" w:hanging="360"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ind w:left="360" w:hanging="360"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ind w:left="360" w:hanging="360"/>
        <w:contextualSpacing/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>Článek IV.</w:t>
      </w:r>
    </w:p>
    <w:p w:rsidR="00E97E72" w:rsidRPr="00E97E72" w:rsidRDefault="00E97E72" w:rsidP="00E97E72">
      <w:pPr>
        <w:ind w:left="360" w:hanging="360"/>
        <w:contextualSpacing/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>Oprávnění zástupci smluvních stran</w:t>
      </w:r>
    </w:p>
    <w:p w:rsidR="00E97E72" w:rsidRPr="00E97E72" w:rsidRDefault="00E97E72" w:rsidP="00E97E72">
      <w:pPr>
        <w:ind w:left="360" w:hanging="360"/>
        <w:contextualSpacing/>
        <w:jc w:val="center"/>
        <w:rPr>
          <w:b/>
          <w:sz w:val="22"/>
          <w:szCs w:val="22"/>
          <w:lang w:eastAsia="en-US"/>
        </w:rPr>
      </w:pPr>
    </w:p>
    <w:p w:rsidR="00E97E72" w:rsidRPr="00E97E72" w:rsidRDefault="00E97E72" w:rsidP="00E97E72">
      <w:pPr>
        <w:ind w:left="360" w:hanging="360"/>
        <w:contextualSpacing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1.</w:t>
      </w:r>
      <w:r w:rsidRPr="00E97E72">
        <w:rPr>
          <w:sz w:val="22"/>
          <w:szCs w:val="22"/>
          <w:lang w:eastAsia="en-US"/>
        </w:rPr>
        <w:tab/>
        <w:t>Za Poskytovatele jsou oprávněnými zástupci:</w:t>
      </w: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E97E72" w:rsidRPr="00E97E72" w:rsidTr="00D4506F">
        <w:trPr>
          <w:cantSplit/>
        </w:trPr>
        <w:tc>
          <w:tcPr>
            <w:tcW w:w="7512" w:type="dxa"/>
          </w:tcPr>
          <w:p w:rsidR="00E97E72" w:rsidRPr="00E97E72" w:rsidRDefault="00E97E72" w:rsidP="00E97E72">
            <w:pPr>
              <w:snapToGrid w:val="0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u w:val="single"/>
                <w:lang w:eastAsia="en-US"/>
              </w:rPr>
              <w:t>- ve věcech smluvních:</w:t>
            </w:r>
            <w:r w:rsidRPr="00E97E7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7E72" w:rsidRPr="00E97E72" w:rsidTr="00D4506F">
        <w:trPr>
          <w:cantSplit/>
        </w:trPr>
        <w:tc>
          <w:tcPr>
            <w:tcW w:w="7512" w:type="dxa"/>
          </w:tcPr>
          <w:p w:rsidR="00E97E72" w:rsidRPr="00E97E72" w:rsidRDefault="00E97E72" w:rsidP="00E97E72">
            <w:pPr>
              <w:snapToGrid w:val="0"/>
              <w:rPr>
                <w:sz w:val="22"/>
                <w:szCs w:val="22"/>
                <w:u w:val="single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Mgr. František Jura, primátor města Prostějova</w:t>
            </w:r>
          </w:p>
        </w:tc>
      </w:tr>
      <w:tr w:rsidR="00E97E72" w:rsidRPr="00E97E72" w:rsidTr="00D4506F">
        <w:trPr>
          <w:cantSplit/>
        </w:trPr>
        <w:tc>
          <w:tcPr>
            <w:tcW w:w="7512" w:type="dxa"/>
          </w:tcPr>
          <w:p w:rsidR="00E97E72" w:rsidRPr="00E97E72" w:rsidRDefault="00E97E72" w:rsidP="00E97E72">
            <w:pPr>
              <w:snapToGrid w:val="0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u w:val="single"/>
                <w:lang w:eastAsia="en-US"/>
              </w:rPr>
              <w:t>- ve věcech technických:</w:t>
            </w:r>
            <w:r w:rsidRPr="00E97E7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7E72" w:rsidRPr="00E97E72" w:rsidTr="00D4506F">
        <w:trPr>
          <w:cantSplit/>
        </w:trPr>
        <w:tc>
          <w:tcPr>
            <w:tcW w:w="7512" w:type="dxa"/>
          </w:tcPr>
          <w:p w:rsidR="00E97E72" w:rsidRPr="00E97E72" w:rsidRDefault="00E97E72" w:rsidP="00E97E72">
            <w:pPr>
              <w:snapToGrid w:val="0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Ing. Petr Brückner, vedoucí Odboru rozvoje a investic Magistrátu města Prostějova</w:t>
            </w:r>
          </w:p>
        </w:tc>
      </w:tr>
    </w:tbl>
    <w:p w:rsidR="00E97E72" w:rsidRPr="00E97E72" w:rsidRDefault="00E97E72" w:rsidP="00E97E72">
      <w:pPr>
        <w:ind w:left="1701"/>
        <w:contextualSpacing/>
        <w:jc w:val="both"/>
        <w:rPr>
          <w:sz w:val="22"/>
          <w:szCs w:val="22"/>
          <w:highlight w:val="yellow"/>
          <w:u w:val="single"/>
          <w:lang w:eastAsia="en-US"/>
        </w:rPr>
      </w:pPr>
    </w:p>
    <w:p w:rsidR="00E97E72" w:rsidRPr="00E97E72" w:rsidRDefault="00E97E72" w:rsidP="00E97E72">
      <w:pPr>
        <w:ind w:left="360" w:hanging="360"/>
        <w:contextualSpacing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2.</w:t>
      </w:r>
      <w:r w:rsidRPr="00E97E72">
        <w:rPr>
          <w:sz w:val="22"/>
          <w:szCs w:val="22"/>
          <w:lang w:eastAsia="en-US"/>
        </w:rPr>
        <w:tab/>
        <w:t>Za Příjemce jsou oprávněnými zástupci:</w:t>
      </w: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E97E72" w:rsidRPr="00E97E72" w:rsidTr="00D4506F">
        <w:trPr>
          <w:cantSplit/>
        </w:trPr>
        <w:tc>
          <w:tcPr>
            <w:tcW w:w="7512" w:type="dxa"/>
          </w:tcPr>
          <w:p w:rsidR="00E97E72" w:rsidRPr="00E97E72" w:rsidRDefault="00E97E72" w:rsidP="00E97E72">
            <w:pPr>
              <w:snapToGrid w:val="0"/>
              <w:rPr>
                <w:sz w:val="22"/>
                <w:szCs w:val="22"/>
                <w:u w:val="single"/>
                <w:lang w:eastAsia="en-US"/>
              </w:rPr>
            </w:pPr>
            <w:r w:rsidRPr="00E97E72">
              <w:rPr>
                <w:sz w:val="22"/>
                <w:szCs w:val="22"/>
                <w:u w:val="single"/>
                <w:lang w:eastAsia="en-US"/>
              </w:rPr>
              <w:t>- ve věcech smluvních:</w:t>
            </w:r>
            <w:r w:rsidRPr="00E97E7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7E72" w:rsidRPr="00E97E72" w:rsidTr="00D4506F">
        <w:trPr>
          <w:cantSplit/>
        </w:trPr>
        <w:tc>
          <w:tcPr>
            <w:tcW w:w="7512" w:type="dxa"/>
          </w:tcPr>
          <w:p w:rsidR="00E97E72" w:rsidRPr="00E97E72" w:rsidRDefault="00E97E72" w:rsidP="00E97E72">
            <w:pPr>
              <w:snapToGrid w:val="0"/>
              <w:rPr>
                <w:sz w:val="22"/>
                <w:szCs w:val="22"/>
                <w:u w:val="single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 xml:space="preserve">Mgr. Miroslav </w:t>
            </w:r>
            <w:proofErr w:type="spellStart"/>
            <w:r w:rsidRPr="00E97E72">
              <w:rPr>
                <w:sz w:val="22"/>
                <w:szCs w:val="22"/>
                <w:lang w:eastAsia="en-US"/>
              </w:rPr>
              <w:t>Žbánek</w:t>
            </w:r>
            <w:proofErr w:type="spellEnd"/>
            <w:r w:rsidRPr="00E97E72">
              <w:rPr>
                <w:sz w:val="22"/>
                <w:szCs w:val="22"/>
                <w:lang w:eastAsia="en-US"/>
              </w:rPr>
              <w:t>, MPA</w:t>
            </w:r>
          </w:p>
        </w:tc>
      </w:tr>
      <w:tr w:rsidR="00E97E72" w:rsidRPr="00E97E72" w:rsidTr="00D4506F">
        <w:trPr>
          <w:cantSplit/>
        </w:trPr>
        <w:tc>
          <w:tcPr>
            <w:tcW w:w="7512" w:type="dxa"/>
          </w:tcPr>
          <w:p w:rsidR="00E97E72" w:rsidRPr="00E97E72" w:rsidRDefault="00E97E72" w:rsidP="00E97E72">
            <w:pPr>
              <w:snapToGrid w:val="0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u w:val="single"/>
                <w:lang w:eastAsia="en-US"/>
              </w:rPr>
              <w:t>- ve věcech technických:</w:t>
            </w:r>
            <w:r w:rsidRPr="00E97E7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7E72" w:rsidRPr="00E97E72" w:rsidTr="00D4506F">
        <w:trPr>
          <w:cantSplit/>
        </w:trPr>
        <w:tc>
          <w:tcPr>
            <w:tcW w:w="7512" w:type="dxa"/>
          </w:tcPr>
          <w:p w:rsidR="00E97E72" w:rsidRPr="00E97E72" w:rsidRDefault="00E97E72" w:rsidP="00E97E72">
            <w:pPr>
              <w:snapToGrid w:val="0"/>
              <w:rPr>
                <w:sz w:val="22"/>
                <w:szCs w:val="22"/>
                <w:u w:val="single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 xml:space="preserve">Ing. Zdeněk </w:t>
            </w:r>
            <w:proofErr w:type="spellStart"/>
            <w:r w:rsidRPr="00E97E72">
              <w:rPr>
                <w:sz w:val="22"/>
                <w:szCs w:val="22"/>
                <w:lang w:eastAsia="en-US"/>
              </w:rPr>
              <w:t>Bogoč</w:t>
            </w:r>
            <w:proofErr w:type="spellEnd"/>
          </w:p>
        </w:tc>
      </w:tr>
    </w:tbl>
    <w:p w:rsidR="00E97E72" w:rsidRPr="00E97E72" w:rsidRDefault="00E97E72" w:rsidP="00E97E72">
      <w:pPr>
        <w:spacing w:line="276" w:lineRule="auto"/>
        <w:contextualSpacing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ind w:left="360" w:hanging="360"/>
        <w:contextualSpacing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3.</w:t>
      </w:r>
      <w:r w:rsidRPr="00E97E72">
        <w:rPr>
          <w:sz w:val="22"/>
          <w:szCs w:val="22"/>
          <w:lang w:eastAsia="en-US"/>
        </w:rPr>
        <w:tab/>
        <w:t xml:space="preserve">Případné změny oprávněných zástupců si smluvní strany oznámí písemně do 15 dnů, mezi smluvními stranami nebude v takovém případě uzavírán dodatek k této smlouvě. </w:t>
      </w:r>
    </w:p>
    <w:p w:rsidR="00E97E72" w:rsidRPr="00E97E72" w:rsidRDefault="00E97E72" w:rsidP="00E97E72">
      <w:pPr>
        <w:ind w:left="360" w:hanging="360"/>
        <w:contextualSpacing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ind w:left="360" w:hanging="360"/>
        <w:contextualSpacing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>Článek V.</w:t>
      </w: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 xml:space="preserve">Sankční ujednání </w:t>
      </w:r>
    </w:p>
    <w:p w:rsidR="00E97E72" w:rsidRPr="00E97E72" w:rsidRDefault="00E97E72" w:rsidP="00E97E72">
      <w:pPr>
        <w:ind w:left="360" w:hanging="360"/>
        <w:jc w:val="center"/>
        <w:rPr>
          <w:b/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bCs/>
          <w:iCs/>
          <w:sz w:val="22"/>
          <w:szCs w:val="22"/>
        </w:rPr>
      </w:pPr>
      <w:r w:rsidRPr="00E97E72">
        <w:rPr>
          <w:bCs/>
          <w:sz w:val="22"/>
          <w:szCs w:val="22"/>
        </w:rPr>
        <w:t>V případě neoprávněného použití nebo zadržení poskytnutých peněžních prostředků nebo jejich části Příjemcem postupuje Poskytovatel v souladu s ustanovením § 22 zákona č. 250/2000 Sb., o rozpočtových pravidlech územních rozpočtů, ve znění pozdějších předpisů, včetně penalizace.</w:t>
      </w:r>
    </w:p>
    <w:p w:rsidR="00E97E72" w:rsidRPr="00E97E72" w:rsidRDefault="00E97E72" w:rsidP="00E97E72">
      <w:pPr>
        <w:tabs>
          <w:tab w:val="left" w:pos="360"/>
        </w:tabs>
        <w:jc w:val="both"/>
        <w:rPr>
          <w:bCs/>
          <w:sz w:val="22"/>
          <w:szCs w:val="22"/>
        </w:rPr>
      </w:pPr>
      <w:r w:rsidRPr="00E97E72">
        <w:rPr>
          <w:bCs/>
          <w:sz w:val="22"/>
          <w:szCs w:val="22"/>
        </w:rPr>
        <w:t xml:space="preserve"> </w:t>
      </w:r>
    </w:p>
    <w:p w:rsidR="00E97E72" w:rsidRPr="00E97E72" w:rsidRDefault="00E97E72" w:rsidP="00E97E72">
      <w:pPr>
        <w:tabs>
          <w:tab w:val="left" w:pos="360"/>
        </w:tabs>
        <w:jc w:val="both"/>
        <w:rPr>
          <w:bCs/>
          <w:sz w:val="22"/>
          <w:szCs w:val="22"/>
        </w:rPr>
      </w:pPr>
    </w:p>
    <w:p w:rsidR="00E97E72" w:rsidRPr="00E97E72" w:rsidRDefault="00E97E72" w:rsidP="00E97E72">
      <w:pPr>
        <w:tabs>
          <w:tab w:val="left" w:pos="360"/>
        </w:tabs>
        <w:jc w:val="both"/>
        <w:rPr>
          <w:bCs/>
          <w:sz w:val="22"/>
          <w:szCs w:val="22"/>
        </w:rPr>
      </w:pPr>
    </w:p>
    <w:p w:rsidR="00E97E72" w:rsidRPr="00E97E72" w:rsidRDefault="00E97E72" w:rsidP="00E97E72">
      <w:pPr>
        <w:tabs>
          <w:tab w:val="left" w:pos="360"/>
        </w:tabs>
        <w:jc w:val="both"/>
        <w:rPr>
          <w:bCs/>
          <w:sz w:val="22"/>
          <w:szCs w:val="22"/>
        </w:rPr>
      </w:pPr>
    </w:p>
    <w:p w:rsidR="00E97E72" w:rsidRPr="00E97E72" w:rsidRDefault="00E97E72" w:rsidP="00E97E72">
      <w:pPr>
        <w:tabs>
          <w:tab w:val="left" w:pos="360"/>
        </w:tabs>
        <w:jc w:val="both"/>
        <w:rPr>
          <w:bCs/>
          <w:sz w:val="22"/>
          <w:szCs w:val="22"/>
        </w:rPr>
      </w:pPr>
    </w:p>
    <w:p w:rsidR="00E97E72" w:rsidRPr="00E97E72" w:rsidRDefault="00E97E72" w:rsidP="00E97E72">
      <w:pPr>
        <w:tabs>
          <w:tab w:val="left" w:pos="360"/>
        </w:tabs>
        <w:jc w:val="both"/>
        <w:rPr>
          <w:bCs/>
          <w:iCs/>
          <w:sz w:val="22"/>
          <w:szCs w:val="22"/>
        </w:rPr>
      </w:pPr>
    </w:p>
    <w:p w:rsidR="00E97E72" w:rsidRPr="00E97E72" w:rsidRDefault="00E97E72" w:rsidP="00E97E72">
      <w:pPr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E97E72">
        <w:rPr>
          <w:sz w:val="22"/>
          <w:szCs w:val="22"/>
        </w:rPr>
        <w:t>V souladu s § 10a odst. 6 zákona č. 250/2000 Sb., o rozpočtových pravidlech územních rozpočtů, ve znění pozdějších předpisů se vymezují podmínky související s účelem, na nějž byly peněžní prostředky poskytnuty (§ 10a odst. 5 písm. i) téhož zákona), jejichž porušení Příjemcem bude považováno za méně závažné takto:</w:t>
      </w:r>
    </w:p>
    <w:p w:rsidR="00E97E72" w:rsidRPr="00E97E72" w:rsidRDefault="00E97E72" w:rsidP="00E97E72">
      <w:pPr>
        <w:ind w:left="900" w:hanging="360"/>
        <w:jc w:val="both"/>
        <w:rPr>
          <w:sz w:val="22"/>
          <w:szCs w:val="22"/>
        </w:rPr>
      </w:pPr>
      <w:r w:rsidRPr="00E97E72">
        <w:rPr>
          <w:sz w:val="22"/>
          <w:szCs w:val="22"/>
        </w:rPr>
        <w:t xml:space="preserve">- </w:t>
      </w:r>
      <w:r w:rsidRPr="00E97E72">
        <w:rPr>
          <w:sz w:val="22"/>
          <w:szCs w:val="22"/>
        </w:rPr>
        <w:tab/>
        <w:t>povinnost předložit vyúčtování v termínu dle čl. II odst. 3 nebo čl. III odst. 6 této smlouvy,</w:t>
      </w:r>
    </w:p>
    <w:p w:rsidR="00E97E72" w:rsidRPr="00E97E72" w:rsidRDefault="00E97E72" w:rsidP="00E97E72">
      <w:pPr>
        <w:ind w:left="900" w:hanging="360"/>
        <w:jc w:val="both"/>
        <w:rPr>
          <w:sz w:val="22"/>
          <w:szCs w:val="22"/>
        </w:rPr>
      </w:pPr>
      <w:r w:rsidRPr="00E97E72">
        <w:rPr>
          <w:sz w:val="22"/>
          <w:szCs w:val="22"/>
        </w:rPr>
        <w:t xml:space="preserve">- </w:t>
      </w:r>
      <w:r w:rsidRPr="00E97E72">
        <w:rPr>
          <w:sz w:val="22"/>
          <w:szCs w:val="22"/>
        </w:rPr>
        <w:tab/>
        <w:t xml:space="preserve">povinnost uvedená v čl. II odst. 4 smlouvy. </w:t>
      </w:r>
    </w:p>
    <w:p w:rsidR="00E97E72" w:rsidRPr="00E97E72" w:rsidRDefault="00E97E72" w:rsidP="00E97E72">
      <w:pPr>
        <w:ind w:left="357" w:hanging="357"/>
        <w:jc w:val="both"/>
        <w:rPr>
          <w:sz w:val="22"/>
          <w:szCs w:val="22"/>
        </w:rPr>
      </w:pPr>
    </w:p>
    <w:p w:rsidR="00E97E72" w:rsidRPr="00E97E72" w:rsidRDefault="00E97E72" w:rsidP="00E97E72">
      <w:pPr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E97E72">
        <w:rPr>
          <w:sz w:val="22"/>
          <w:szCs w:val="22"/>
        </w:rPr>
        <w:t>Nesplní-li příjemce povinnost předložit vyúčtování v termínu dle čl. II odst. 3 nebo čl. III odst. 6 této smlouvy nebo nesplní-li povinnost dle čl. II odst. 4 této smlouvy, a to ani na základě výzvy Poskytovatele se stanovenou přiměřenou lhůtou, je povinen provést odvod za porušení rozpočtové kázně na účet Poskytovatele ve výši 5 % z výše poskytnuté dotace.</w:t>
      </w:r>
    </w:p>
    <w:p w:rsidR="00E97E72" w:rsidRPr="00E97E72" w:rsidRDefault="00E97E72" w:rsidP="00E97E72">
      <w:pPr>
        <w:ind w:left="708"/>
        <w:rPr>
          <w:sz w:val="22"/>
          <w:szCs w:val="22"/>
        </w:rPr>
      </w:pPr>
    </w:p>
    <w:p w:rsidR="00E97E72" w:rsidRPr="00E97E72" w:rsidRDefault="00E97E72" w:rsidP="00E97E72">
      <w:pPr>
        <w:ind w:left="708"/>
        <w:rPr>
          <w:sz w:val="22"/>
          <w:szCs w:val="22"/>
        </w:rPr>
      </w:pPr>
    </w:p>
    <w:p w:rsidR="00E97E72" w:rsidRPr="00E97E72" w:rsidRDefault="00E97E72" w:rsidP="00E97E72">
      <w:pPr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>Článek VI.</w:t>
      </w:r>
    </w:p>
    <w:p w:rsidR="00E97E72" w:rsidRPr="00E97E72" w:rsidRDefault="00E97E72" w:rsidP="00E97E72">
      <w:pPr>
        <w:jc w:val="center"/>
        <w:rPr>
          <w:b/>
          <w:sz w:val="22"/>
          <w:szCs w:val="22"/>
          <w:lang w:eastAsia="en-US"/>
        </w:rPr>
      </w:pPr>
      <w:r w:rsidRPr="00E97E72">
        <w:rPr>
          <w:b/>
          <w:sz w:val="22"/>
          <w:szCs w:val="22"/>
          <w:lang w:eastAsia="en-US"/>
        </w:rPr>
        <w:t>Závěrečná ustanovení</w:t>
      </w:r>
    </w:p>
    <w:p w:rsidR="00E97E72" w:rsidRPr="00E97E72" w:rsidRDefault="00E97E72" w:rsidP="00E97E72">
      <w:pPr>
        <w:jc w:val="both"/>
        <w:rPr>
          <w:b/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0"/>
        </w:numPr>
        <w:ind w:left="357" w:hanging="357"/>
        <w:jc w:val="both"/>
        <w:rPr>
          <w:sz w:val="22"/>
          <w:szCs w:val="22"/>
        </w:rPr>
      </w:pPr>
      <w:r w:rsidRPr="00E97E72">
        <w:rPr>
          <w:sz w:val="22"/>
          <w:szCs w:val="22"/>
          <w:lang w:eastAsia="en-US"/>
        </w:rPr>
        <w:t xml:space="preserve">Právní vztahy touto smlouvou neupravené se řídí </w:t>
      </w:r>
      <w:r w:rsidRPr="00E97E72">
        <w:rPr>
          <w:sz w:val="22"/>
          <w:szCs w:val="22"/>
        </w:rPr>
        <w:t xml:space="preserve">příslušnými právními předpisy, zejména ustanoveními zákona č. 250/2000 Sb., o rozpočtových pravidlech územních rozpočtů, ve znění pozdějších předpisů a zákonem č. 500/2004 Sb., správní řád, ve znění pozdějších předpisů. </w:t>
      </w:r>
    </w:p>
    <w:p w:rsidR="00E97E72" w:rsidRPr="00E97E72" w:rsidRDefault="00E97E72" w:rsidP="00E97E72">
      <w:pPr>
        <w:tabs>
          <w:tab w:val="num" w:pos="360"/>
        </w:tabs>
        <w:suppressAutoHyphens/>
        <w:ind w:left="357" w:hanging="357"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0"/>
        </w:numPr>
        <w:suppressAutoHyphens/>
        <w:ind w:left="357" w:hanging="357"/>
        <w:contextualSpacing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Změny a doplňky této smlouvy mohou být provedeny na základě dohody smluvních stran.   Dohoda musí mít písemnou formu dodatku podepsaného</w:t>
      </w:r>
      <w:r w:rsidRPr="00E97E72">
        <w:rPr>
          <w:b/>
          <w:bCs/>
          <w:sz w:val="22"/>
          <w:szCs w:val="22"/>
          <w:lang w:eastAsia="en-US"/>
        </w:rPr>
        <w:t xml:space="preserve"> </w:t>
      </w:r>
      <w:r w:rsidRPr="00E97E72">
        <w:rPr>
          <w:sz w:val="22"/>
          <w:szCs w:val="22"/>
          <w:lang w:eastAsia="en-US"/>
        </w:rPr>
        <w:t>oprávněnými zástupci</w:t>
      </w:r>
      <w:r w:rsidRPr="00E97E72">
        <w:rPr>
          <w:b/>
          <w:bCs/>
          <w:sz w:val="22"/>
          <w:szCs w:val="22"/>
          <w:lang w:eastAsia="en-US"/>
        </w:rPr>
        <w:t xml:space="preserve"> </w:t>
      </w:r>
      <w:r w:rsidRPr="00E97E72">
        <w:rPr>
          <w:sz w:val="22"/>
          <w:szCs w:val="22"/>
          <w:lang w:eastAsia="en-US"/>
        </w:rPr>
        <w:t>obou smluvních stran. Veškeré dodatky a přílohy vzniklé po dobu plnění smlouvy se stávají její nedílnou součástí.</w:t>
      </w:r>
    </w:p>
    <w:p w:rsidR="00E97E72" w:rsidRPr="00E97E72" w:rsidRDefault="00E97E72" w:rsidP="00E97E72">
      <w:pPr>
        <w:tabs>
          <w:tab w:val="num" w:pos="360"/>
        </w:tabs>
        <w:suppressAutoHyphens/>
        <w:ind w:left="357" w:hanging="357"/>
        <w:contextualSpacing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0"/>
        </w:numPr>
        <w:suppressAutoHyphens/>
        <w:ind w:left="357" w:hanging="357"/>
        <w:contextualSpacing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Tato smlouva je vyhotovena ve čtyřech stejnopisech, z nichž každá smluvní strana obdrží dvě vyhotovení.</w:t>
      </w:r>
    </w:p>
    <w:p w:rsidR="00E97E72" w:rsidRPr="00E97E72" w:rsidRDefault="00E97E72" w:rsidP="00E97E72">
      <w:pPr>
        <w:suppressAutoHyphens/>
        <w:ind w:left="357" w:hanging="357"/>
        <w:jc w:val="both"/>
        <w:rPr>
          <w:bCs/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0"/>
        </w:numPr>
        <w:suppressAutoHyphens/>
        <w:ind w:left="357" w:hanging="357"/>
        <w:jc w:val="both"/>
        <w:rPr>
          <w:sz w:val="22"/>
          <w:szCs w:val="22"/>
          <w:lang w:eastAsia="en-US"/>
        </w:rPr>
      </w:pPr>
      <w:r w:rsidRPr="00E97E72">
        <w:rPr>
          <w:bCs/>
          <w:sz w:val="22"/>
          <w:szCs w:val="22"/>
          <w:lang w:eastAsia="en-US"/>
        </w:rPr>
        <w:t xml:space="preserve">Příjemce prohlašuje, že toto právní jednání bylo schváleno Radou města Olomouce dne </w:t>
      </w:r>
      <w:r w:rsidRPr="00E97E72">
        <w:rPr>
          <w:bCs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97E72">
        <w:rPr>
          <w:bCs/>
          <w:sz w:val="22"/>
          <w:szCs w:val="22"/>
          <w:lang w:eastAsia="en-US"/>
        </w:rPr>
        <w:instrText xml:space="preserve"> FORMTEXT </w:instrText>
      </w:r>
      <w:r w:rsidRPr="00E97E72">
        <w:rPr>
          <w:bCs/>
          <w:sz w:val="22"/>
          <w:szCs w:val="22"/>
          <w:lang w:eastAsia="en-US"/>
        </w:rPr>
      </w:r>
      <w:r w:rsidRPr="00E97E72">
        <w:rPr>
          <w:bCs/>
          <w:sz w:val="22"/>
          <w:szCs w:val="22"/>
          <w:lang w:eastAsia="en-US"/>
        </w:rPr>
        <w:fldChar w:fldCharType="separate"/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sz w:val="22"/>
          <w:szCs w:val="22"/>
          <w:lang w:eastAsia="en-US"/>
        </w:rPr>
        <w:fldChar w:fldCharType="end"/>
      </w:r>
      <w:bookmarkEnd w:id="1"/>
      <w:r w:rsidRPr="00E97E72">
        <w:rPr>
          <w:bCs/>
          <w:sz w:val="22"/>
          <w:szCs w:val="22"/>
          <w:lang w:eastAsia="en-US"/>
        </w:rPr>
        <w:t xml:space="preserve">, usnesením č. </w:t>
      </w:r>
      <w:r w:rsidRPr="00E97E72">
        <w:rPr>
          <w:bCs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97E72">
        <w:rPr>
          <w:bCs/>
          <w:sz w:val="22"/>
          <w:szCs w:val="22"/>
          <w:lang w:eastAsia="en-US"/>
        </w:rPr>
        <w:instrText xml:space="preserve"> FORMTEXT </w:instrText>
      </w:r>
      <w:r w:rsidRPr="00E97E72">
        <w:rPr>
          <w:bCs/>
          <w:sz w:val="22"/>
          <w:szCs w:val="22"/>
          <w:lang w:eastAsia="en-US"/>
        </w:rPr>
      </w:r>
      <w:r w:rsidRPr="00E97E72">
        <w:rPr>
          <w:bCs/>
          <w:sz w:val="22"/>
          <w:szCs w:val="22"/>
          <w:lang w:eastAsia="en-US"/>
        </w:rPr>
        <w:fldChar w:fldCharType="separate"/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sz w:val="22"/>
          <w:szCs w:val="22"/>
          <w:lang w:eastAsia="en-US"/>
        </w:rPr>
        <w:fldChar w:fldCharType="end"/>
      </w:r>
      <w:bookmarkEnd w:id="2"/>
      <w:r w:rsidRPr="00E97E72">
        <w:rPr>
          <w:bCs/>
          <w:sz w:val="22"/>
          <w:szCs w:val="22"/>
          <w:lang w:eastAsia="en-US"/>
        </w:rPr>
        <w:t>.</w:t>
      </w:r>
    </w:p>
    <w:p w:rsidR="00E97E72" w:rsidRPr="00E97E72" w:rsidRDefault="00E97E72" w:rsidP="00E97E72">
      <w:pPr>
        <w:suppressAutoHyphens/>
        <w:ind w:left="357" w:hanging="357"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0"/>
        </w:numPr>
        <w:suppressAutoHyphens/>
        <w:ind w:left="357" w:hanging="357"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 xml:space="preserve">Poskytovatel </w:t>
      </w:r>
      <w:r w:rsidRPr="00E97E72">
        <w:rPr>
          <w:bCs/>
          <w:sz w:val="22"/>
          <w:szCs w:val="22"/>
          <w:lang w:eastAsia="en-US"/>
        </w:rPr>
        <w:t xml:space="preserve">prohlašuje, že toto právní jednání bylo schváleno Zastupitelstvem města Prostějova dne </w:t>
      </w:r>
      <w:r w:rsidRPr="00E97E72">
        <w:rPr>
          <w:bCs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97E72">
        <w:rPr>
          <w:bCs/>
          <w:sz w:val="22"/>
          <w:szCs w:val="22"/>
          <w:lang w:eastAsia="en-US"/>
        </w:rPr>
        <w:instrText xml:space="preserve"> FORMTEXT </w:instrText>
      </w:r>
      <w:r w:rsidRPr="00E97E72">
        <w:rPr>
          <w:bCs/>
          <w:sz w:val="22"/>
          <w:szCs w:val="22"/>
          <w:lang w:eastAsia="en-US"/>
        </w:rPr>
      </w:r>
      <w:r w:rsidRPr="00E97E72">
        <w:rPr>
          <w:bCs/>
          <w:sz w:val="22"/>
          <w:szCs w:val="22"/>
          <w:lang w:eastAsia="en-US"/>
        </w:rPr>
        <w:fldChar w:fldCharType="separate"/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sz w:val="22"/>
          <w:szCs w:val="22"/>
          <w:lang w:eastAsia="en-US"/>
        </w:rPr>
        <w:fldChar w:fldCharType="end"/>
      </w:r>
      <w:bookmarkEnd w:id="3"/>
      <w:r w:rsidRPr="00E97E72">
        <w:rPr>
          <w:bCs/>
          <w:sz w:val="22"/>
          <w:szCs w:val="22"/>
          <w:lang w:eastAsia="en-US"/>
        </w:rPr>
        <w:t xml:space="preserve">, usnesením č. </w:t>
      </w:r>
      <w:r w:rsidRPr="00E97E72">
        <w:rPr>
          <w:bCs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97E72">
        <w:rPr>
          <w:bCs/>
          <w:sz w:val="22"/>
          <w:szCs w:val="22"/>
          <w:lang w:eastAsia="en-US"/>
        </w:rPr>
        <w:instrText xml:space="preserve"> FORMTEXT </w:instrText>
      </w:r>
      <w:r w:rsidRPr="00E97E72">
        <w:rPr>
          <w:bCs/>
          <w:sz w:val="22"/>
          <w:szCs w:val="22"/>
          <w:lang w:eastAsia="en-US"/>
        </w:rPr>
      </w:r>
      <w:r w:rsidRPr="00E97E72">
        <w:rPr>
          <w:bCs/>
          <w:sz w:val="22"/>
          <w:szCs w:val="22"/>
          <w:lang w:eastAsia="en-US"/>
        </w:rPr>
        <w:fldChar w:fldCharType="separate"/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noProof/>
          <w:sz w:val="22"/>
          <w:szCs w:val="22"/>
          <w:lang w:eastAsia="en-US"/>
        </w:rPr>
        <w:t> </w:t>
      </w:r>
      <w:r w:rsidRPr="00E97E72">
        <w:rPr>
          <w:bCs/>
          <w:sz w:val="22"/>
          <w:szCs w:val="22"/>
          <w:lang w:eastAsia="en-US"/>
        </w:rPr>
        <w:fldChar w:fldCharType="end"/>
      </w:r>
      <w:bookmarkEnd w:id="4"/>
      <w:r w:rsidRPr="00E97E72">
        <w:rPr>
          <w:bCs/>
          <w:sz w:val="22"/>
          <w:szCs w:val="22"/>
          <w:lang w:eastAsia="en-US"/>
        </w:rPr>
        <w:t>.</w:t>
      </w:r>
    </w:p>
    <w:p w:rsidR="00E97E72" w:rsidRPr="00E97E72" w:rsidRDefault="00E97E72" w:rsidP="00E97E72">
      <w:pPr>
        <w:suppressAutoHyphens/>
        <w:ind w:left="357" w:hanging="357"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0"/>
        </w:numPr>
        <w:suppressAutoHyphens/>
        <w:ind w:left="357" w:hanging="357"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 xml:space="preserve">Smluvní strany berou na vědomí, že obsah této smlouvy včetně všech dodatků může být poskytnut žadateli v režimu zákona č. 106/1999 Sb., o svobodném přístupu k informacím, ve znění pozdějších předpisů. </w:t>
      </w:r>
    </w:p>
    <w:p w:rsidR="00E97E72" w:rsidRPr="00E97E72" w:rsidRDefault="00E97E72" w:rsidP="00E97E72">
      <w:pPr>
        <w:suppressAutoHyphens/>
        <w:ind w:left="357" w:hanging="357"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0"/>
        </w:numPr>
        <w:ind w:left="357" w:hanging="357"/>
        <w:contextualSpacing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Smlouva obsahuje úplné ujednání o předmětu této smlouvy a všech náležitostech, které smluvní strany měly a chtěly v této smlouvě ujednat, a které považují za důležité pro závaznost této smlouvy. Žádný projev smluvních stran učiněný při jednání o této smlouvě ani projev učiněný po uzavření této smlouvy nesmí být vykládán v rozporu s výslovnými ustanoveními této smlouvy a nezakládá žádný závazek žádné ze smluvních stran. Smluvní strany tímto vzájemně prohlašují a stvrzují svými podpisy, že smlouvu řádně zvážily, její celý text přečetly a pochopily a že ji uzavírají o své svobodné a vážné vůli. Rovněž také prohlašují, že jim nejsou známy žádné skutečnosti, které by mohly tuto jimi uzavíranou smlouvu jakkoliv učinit neplatnou či neúčinnou vůči jakékoliv třetí osobě a zmařit její účel tak, jak jej na počátku této smlouvy vážně deklarovaly. Smluvní strany konečně prohlašují, že jim nejsou známy překážky, které by bránily v uzavření této smlouvy nebo v její realizaci a naplnění účelu této smlouvy.</w:t>
      </w:r>
    </w:p>
    <w:p w:rsidR="00E97E72" w:rsidRPr="00E97E72" w:rsidRDefault="00E97E72" w:rsidP="00E97E72">
      <w:pPr>
        <w:ind w:left="357" w:hanging="357"/>
        <w:contextualSpacing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0"/>
        </w:numPr>
        <w:ind w:left="357" w:hanging="357"/>
        <w:jc w:val="both"/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>Tato</w:t>
      </w:r>
      <w:r w:rsidRPr="00E97E72">
        <w:rPr>
          <w:iCs/>
          <w:sz w:val="22"/>
          <w:szCs w:val="22"/>
          <w:lang w:eastAsia="en-US"/>
        </w:rPr>
        <w:t xml:space="preserve"> smlouva včetně všech dodatků bude uveřejněna v registru smluv dle zákona č. 340/2015 Sb., o zvláštních podmínkách účinnosti některých smluv, uveřejňování těchto smluv a o registru smluv (zákon o registru smluv), ve znění pozdějších předpisů</w:t>
      </w:r>
      <w:r w:rsidRPr="00E97E72">
        <w:rPr>
          <w:sz w:val="22"/>
          <w:szCs w:val="22"/>
          <w:lang w:eastAsia="en-US"/>
        </w:rPr>
        <w:t>. Smluvní strany se dohodly, že uveřejnění smlouvy v registru smluv zajistí Příjemce.</w:t>
      </w:r>
    </w:p>
    <w:p w:rsidR="00E97E72" w:rsidRPr="00E97E72" w:rsidRDefault="00E97E72" w:rsidP="00E97E72">
      <w:pPr>
        <w:ind w:left="357" w:hanging="357"/>
        <w:contextualSpacing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numPr>
          <w:ilvl w:val="0"/>
          <w:numId w:val="40"/>
        </w:numPr>
        <w:suppressAutoHyphens/>
        <w:ind w:left="357" w:hanging="357"/>
        <w:jc w:val="both"/>
        <w:rPr>
          <w:sz w:val="22"/>
          <w:szCs w:val="22"/>
          <w:lang w:eastAsia="en-US"/>
        </w:rPr>
      </w:pPr>
      <w:r w:rsidRPr="00E97E72">
        <w:rPr>
          <w:bCs/>
          <w:sz w:val="22"/>
          <w:szCs w:val="22"/>
          <w:lang w:eastAsia="en-US"/>
        </w:rPr>
        <w:lastRenderedPageBreak/>
        <w:t xml:space="preserve">Tato smlouva nabývá platnosti dnem jejího podpisu oběma smluvními stranami a </w:t>
      </w:r>
      <w:r w:rsidRPr="00E97E72">
        <w:rPr>
          <w:bCs/>
          <w:iCs/>
          <w:sz w:val="22"/>
          <w:szCs w:val="22"/>
          <w:lang w:eastAsia="en-US"/>
        </w:rPr>
        <w:t>účinnosti dnem jejího uveřejnění prostřednictvím registru smluv dle příslušných ustanovení zákona č. 340/2015 Sb., o zvláštních podmínkách účinnosti některých smluv, uveřejňování těchto smluv a o registru smluv (zákon o registru smluv), ve znění pozdějších předpisů.</w:t>
      </w:r>
    </w:p>
    <w:p w:rsidR="00E97E72" w:rsidRPr="00E97E72" w:rsidRDefault="00E97E72" w:rsidP="00E97E72">
      <w:pPr>
        <w:suppressAutoHyphens/>
        <w:ind w:left="1770"/>
        <w:contextualSpacing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suppressAutoHyphens/>
        <w:ind w:left="1770"/>
        <w:contextualSpacing/>
        <w:jc w:val="both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tabs>
          <w:tab w:val="left" w:pos="4536"/>
        </w:tabs>
        <w:suppressAutoHyphens/>
        <w:rPr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97E72" w:rsidRPr="00E97E72" w:rsidTr="00D4506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E72" w:rsidRPr="00E97E72" w:rsidRDefault="00E97E72" w:rsidP="00E97E72">
            <w:pPr>
              <w:suppressAutoHyphens/>
              <w:ind w:left="360" w:hanging="360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V Prostějově dne …</w:t>
            </w:r>
          </w:p>
          <w:p w:rsidR="00E97E72" w:rsidRPr="00E97E72" w:rsidRDefault="00E97E72" w:rsidP="00E97E72">
            <w:pPr>
              <w:suppressAutoHyphens/>
              <w:ind w:left="360" w:hanging="360"/>
              <w:rPr>
                <w:sz w:val="22"/>
                <w:szCs w:val="22"/>
                <w:lang w:eastAsia="en-US"/>
              </w:rPr>
            </w:pPr>
          </w:p>
          <w:p w:rsidR="00E97E72" w:rsidRPr="00E97E72" w:rsidRDefault="00E97E72" w:rsidP="00E97E72">
            <w:pPr>
              <w:suppressAutoHyphens/>
              <w:ind w:left="360" w:hanging="360"/>
              <w:rPr>
                <w:sz w:val="22"/>
                <w:szCs w:val="22"/>
                <w:lang w:eastAsia="en-US"/>
              </w:rPr>
            </w:pPr>
          </w:p>
          <w:p w:rsidR="00E97E72" w:rsidRPr="00E97E72" w:rsidRDefault="00E97E72" w:rsidP="00E97E72">
            <w:pPr>
              <w:suppressAutoHyphens/>
              <w:ind w:left="360" w:hanging="360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E72" w:rsidRPr="00E97E72" w:rsidRDefault="00E97E72" w:rsidP="00E97E72">
            <w:pPr>
              <w:suppressAutoHyphens/>
              <w:ind w:left="360" w:hanging="360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 xml:space="preserve">V Olomouci </w:t>
            </w:r>
            <w:proofErr w:type="gramStart"/>
            <w:r w:rsidRPr="00E97E72">
              <w:rPr>
                <w:sz w:val="22"/>
                <w:szCs w:val="22"/>
                <w:lang w:eastAsia="en-US"/>
              </w:rPr>
              <w:t>dne  ...</w:t>
            </w:r>
            <w:proofErr w:type="gramEnd"/>
          </w:p>
          <w:p w:rsidR="00E97E72" w:rsidRPr="00E97E72" w:rsidRDefault="00E97E72" w:rsidP="00E97E72">
            <w:pPr>
              <w:suppressAutoHyphens/>
              <w:ind w:left="360" w:hanging="360"/>
              <w:rPr>
                <w:sz w:val="22"/>
                <w:szCs w:val="22"/>
                <w:lang w:eastAsia="en-US"/>
              </w:rPr>
            </w:pPr>
          </w:p>
          <w:p w:rsidR="00E97E72" w:rsidRPr="00E97E72" w:rsidRDefault="00E97E72" w:rsidP="00E97E72">
            <w:pPr>
              <w:suppressAutoHyphens/>
              <w:ind w:left="360" w:hanging="360"/>
              <w:rPr>
                <w:sz w:val="22"/>
                <w:szCs w:val="22"/>
                <w:lang w:eastAsia="en-US"/>
              </w:rPr>
            </w:pPr>
          </w:p>
          <w:p w:rsidR="00E97E72" w:rsidRPr="00E97E72" w:rsidRDefault="00E97E72" w:rsidP="00E97E72">
            <w:pPr>
              <w:suppressAutoHyphens/>
              <w:ind w:left="360" w:hanging="360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Za příjemce:</w:t>
            </w:r>
          </w:p>
        </w:tc>
      </w:tr>
    </w:tbl>
    <w:p w:rsidR="00E97E72" w:rsidRPr="00E97E72" w:rsidRDefault="00E97E72" w:rsidP="00E97E72">
      <w:pPr>
        <w:suppressAutoHyphens/>
        <w:ind w:left="360" w:hanging="360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suppressAutoHyphens/>
        <w:ind w:left="360" w:hanging="360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suppressAutoHyphens/>
        <w:ind w:left="360" w:hanging="360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suppressAutoHyphens/>
        <w:ind w:left="360" w:hanging="360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suppressAutoHyphens/>
        <w:ind w:left="360" w:hanging="360"/>
        <w:rPr>
          <w:sz w:val="22"/>
          <w:szCs w:val="22"/>
          <w:lang w:eastAsia="en-U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708"/>
        <w:gridCol w:w="1980"/>
        <w:gridCol w:w="3600"/>
      </w:tblGrid>
      <w:tr w:rsidR="00E97E72" w:rsidRPr="00E97E72" w:rsidTr="00D4506F">
        <w:tc>
          <w:tcPr>
            <w:tcW w:w="37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7E72" w:rsidRPr="00E97E72" w:rsidRDefault="00E97E72" w:rsidP="00E97E72">
            <w:pPr>
              <w:suppressAutoHyphens/>
              <w:ind w:left="360" w:hanging="360"/>
              <w:jc w:val="center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Mgr. František Jura</w:t>
            </w:r>
          </w:p>
        </w:tc>
        <w:tc>
          <w:tcPr>
            <w:tcW w:w="1980" w:type="dxa"/>
          </w:tcPr>
          <w:p w:rsidR="00E97E72" w:rsidRPr="00E97E72" w:rsidRDefault="00E97E72" w:rsidP="00E97E72">
            <w:pPr>
              <w:suppressAutoHyphens/>
              <w:ind w:left="360" w:hanging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97E72" w:rsidRPr="00E97E72" w:rsidRDefault="00E97E72" w:rsidP="00E97E72">
            <w:pPr>
              <w:suppressAutoHyphens/>
              <w:ind w:left="360" w:hanging="360"/>
              <w:jc w:val="center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 xml:space="preserve">Mgr. Miroslav </w:t>
            </w:r>
            <w:proofErr w:type="spellStart"/>
            <w:r w:rsidRPr="00E97E72">
              <w:rPr>
                <w:sz w:val="22"/>
                <w:szCs w:val="22"/>
                <w:lang w:eastAsia="en-US"/>
              </w:rPr>
              <w:t>Žbánek</w:t>
            </w:r>
            <w:proofErr w:type="spellEnd"/>
            <w:r w:rsidRPr="00E97E72">
              <w:rPr>
                <w:sz w:val="22"/>
                <w:szCs w:val="22"/>
                <w:lang w:eastAsia="en-US"/>
              </w:rPr>
              <w:t>, MPA</w:t>
            </w:r>
          </w:p>
        </w:tc>
      </w:tr>
      <w:tr w:rsidR="00E97E72" w:rsidRPr="00E97E72" w:rsidTr="00D4506F">
        <w:tc>
          <w:tcPr>
            <w:tcW w:w="3708" w:type="dxa"/>
          </w:tcPr>
          <w:p w:rsidR="00E97E72" w:rsidRPr="00E97E72" w:rsidRDefault="00E97E72" w:rsidP="00E97E72">
            <w:pPr>
              <w:suppressAutoHyphens/>
              <w:ind w:left="360" w:hanging="360"/>
              <w:jc w:val="center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primátor</w:t>
            </w:r>
          </w:p>
        </w:tc>
        <w:tc>
          <w:tcPr>
            <w:tcW w:w="1980" w:type="dxa"/>
          </w:tcPr>
          <w:p w:rsidR="00E97E72" w:rsidRPr="00E97E72" w:rsidRDefault="00E97E72" w:rsidP="00E97E72">
            <w:pPr>
              <w:suppressAutoHyphens/>
              <w:ind w:left="360" w:hanging="3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</w:tcPr>
          <w:p w:rsidR="00E97E72" w:rsidRPr="00E97E72" w:rsidRDefault="00E97E72" w:rsidP="00E97E72">
            <w:pPr>
              <w:suppressAutoHyphens/>
              <w:ind w:left="360" w:hanging="360"/>
              <w:jc w:val="center"/>
              <w:rPr>
                <w:sz w:val="22"/>
                <w:szCs w:val="22"/>
                <w:lang w:eastAsia="en-US"/>
              </w:rPr>
            </w:pPr>
            <w:r w:rsidRPr="00E97E72">
              <w:rPr>
                <w:sz w:val="22"/>
                <w:szCs w:val="22"/>
                <w:lang w:eastAsia="en-US"/>
              </w:rPr>
              <w:t>primátor</w:t>
            </w:r>
          </w:p>
        </w:tc>
      </w:tr>
    </w:tbl>
    <w:p w:rsidR="00E97E72" w:rsidRPr="00E97E72" w:rsidRDefault="00E97E72" w:rsidP="00E97E72">
      <w:pPr>
        <w:suppressAutoHyphens/>
        <w:ind w:left="360" w:hanging="360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suppressAutoHyphens/>
        <w:ind w:left="360" w:hanging="360"/>
        <w:rPr>
          <w:sz w:val="22"/>
          <w:szCs w:val="22"/>
          <w:lang w:eastAsia="en-US"/>
        </w:rPr>
      </w:pPr>
    </w:p>
    <w:p w:rsidR="00E97E72" w:rsidRPr="00E97E72" w:rsidRDefault="00E97E72" w:rsidP="00E97E72">
      <w:pPr>
        <w:rPr>
          <w:sz w:val="22"/>
          <w:szCs w:val="22"/>
          <w:lang w:eastAsia="en-US"/>
        </w:rPr>
      </w:pPr>
      <w:r w:rsidRPr="00E97E72">
        <w:rPr>
          <w:sz w:val="22"/>
          <w:szCs w:val="22"/>
          <w:lang w:eastAsia="en-US"/>
        </w:rPr>
        <w:t xml:space="preserve"> </w:t>
      </w:r>
    </w:p>
    <w:p w:rsidR="00E97E72" w:rsidRPr="00E97E72" w:rsidRDefault="00E97E72" w:rsidP="00E97E72">
      <w:pPr>
        <w:suppressAutoHyphens/>
        <w:ind w:left="360" w:hanging="360"/>
        <w:rPr>
          <w:sz w:val="22"/>
          <w:szCs w:val="22"/>
          <w:lang w:eastAsia="en-US"/>
        </w:rPr>
      </w:pPr>
    </w:p>
    <w:p w:rsidR="00E97E72" w:rsidRPr="00011F62" w:rsidRDefault="00E97E72" w:rsidP="00E97E72">
      <w:pPr>
        <w:tabs>
          <w:tab w:val="left" w:pos="3516"/>
        </w:tabs>
        <w:jc w:val="both"/>
        <w:rPr>
          <w:rFonts w:ascii="Arial" w:hAnsi="Arial" w:cs="Arial"/>
        </w:rPr>
      </w:pPr>
    </w:p>
    <w:p w:rsidR="005D7E99" w:rsidRDefault="005D7E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3E2F" w:rsidRDefault="005D7E99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</w:t>
      </w:r>
    </w:p>
    <w:p w:rsidR="006C63D0" w:rsidRDefault="006C63D0" w:rsidP="00B8533E">
      <w:pPr>
        <w:jc w:val="both"/>
        <w:rPr>
          <w:rFonts w:ascii="Arial" w:hAnsi="Arial" w:cs="Arial"/>
        </w:rPr>
      </w:pPr>
      <w:r w:rsidRPr="006C63D0">
        <w:rPr>
          <w:rFonts w:ascii="Arial" w:hAnsi="Arial" w:cs="Arial"/>
          <w:noProof/>
        </w:rPr>
        <w:drawing>
          <wp:inline distT="0" distB="0" distL="0" distR="0">
            <wp:extent cx="5291666" cy="8095354"/>
            <wp:effectExtent l="0" t="0" r="444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96" cy="81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3D0" w:rsidSect="00BD5C37">
      <w:footerReference w:type="default" r:id="rId9"/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B1" w:rsidRDefault="005D51B1" w:rsidP="00C71327">
      <w:r>
        <w:separator/>
      </w:r>
    </w:p>
  </w:endnote>
  <w:endnote w:type="continuationSeparator" w:id="0">
    <w:p w:rsidR="005D51B1" w:rsidRDefault="005D51B1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EB" w:rsidRDefault="008F18E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R</w:t>
    </w:r>
    <w:r w:rsidR="00445494">
      <w:rPr>
        <w:rFonts w:ascii="Arial" w:eastAsiaTheme="majorEastAsia" w:hAnsi="Arial" w:cs="Arial"/>
        <w:sz w:val="20"/>
        <w:szCs w:val="20"/>
      </w:rPr>
      <w:t xml:space="preserve">ada města Prostějova </w:t>
    </w:r>
    <w:r w:rsidR="000D0D1F">
      <w:rPr>
        <w:rFonts w:ascii="Arial" w:eastAsiaTheme="majorEastAsia" w:hAnsi="Arial" w:cs="Arial"/>
        <w:sz w:val="20"/>
        <w:szCs w:val="20"/>
      </w:rPr>
      <w:t>24</w:t>
    </w:r>
    <w:r>
      <w:rPr>
        <w:rFonts w:ascii="Arial" w:eastAsiaTheme="majorEastAsia" w:hAnsi="Arial" w:cs="Arial"/>
        <w:sz w:val="20"/>
        <w:szCs w:val="20"/>
      </w:rPr>
      <w:t>. 11. 2020</w:t>
    </w:r>
    <w:r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="0015557E">
      <w:rPr>
        <w:rFonts w:ascii="Arial" w:eastAsiaTheme="majorEastAsia" w:hAnsi="Arial" w:cs="Arial"/>
        <w:sz w:val="20"/>
        <w:szCs w:val="20"/>
      </w:rPr>
      <w:t>Strana 1</w:t>
    </w:r>
  </w:p>
  <w:p w:rsidR="000B1006" w:rsidRPr="00844E83" w:rsidRDefault="000D0D1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0D0D1F">
      <w:rPr>
        <w:rFonts w:ascii="Arial" w:eastAsiaTheme="majorEastAsia" w:hAnsi="Arial" w:cs="Arial"/>
        <w:sz w:val="20"/>
        <w:szCs w:val="20"/>
      </w:rPr>
      <w:t xml:space="preserve">Poskytnutí dotace na zpracování </w:t>
    </w:r>
    <w:r w:rsidR="0037316A">
      <w:rPr>
        <w:rFonts w:ascii="Arial" w:eastAsiaTheme="majorEastAsia" w:hAnsi="Arial" w:cs="Arial"/>
        <w:sz w:val="20"/>
        <w:szCs w:val="20"/>
      </w:rPr>
      <w:t>I</w:t>
    </w:r>
    <w:r w:rsidR="00F42776" w:rsidRPr="00F42776">
      <w:rPr>
        <w:rFonts w:ascii="Arial" w:eastAsiaTheme="majorEastAsia" w:hAnsi="Arial" w:cs="Arial"/>
        <w:sz w:val="20"/>
        <w:szCs w:val="20"/>
      </w:rPr>
      <w:t>ntegrované strategie</w:t>
    </w:r>
    <w:r w:rsidRPr="000D0D1F">
      <w:rPr>
        <w:rFonts w:ascii="Arial" w:eastAsiaTheme="majorEastAsia" w:hAnsi="Arial" w:cs="Arial"/>
        <w:sz w:val="20"/>
        <w:szCs w:val="20"/>
      </w:rPr>
      <w:t xml:space="preserve"> ITI Olomoucké aglomerace</w:t>
    </w:r>
  </w:p>
  <w:p w:rsidR="00ED06D3" w:rsidRPr="00ED06D3" w:rsidRDefault="00ED06D3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B1" w:rsidRDefault="005D51B1" w:rsidP="00C71327">
      <w:r>
        <w:separator/>
      </w:r>
    </w:p>
  </w:footnote>
  <w:footnote w:type="continuationSeparator" w:id="0">
    <w:p w:rsidR="005D51B1" w:rsidRDefault="005D51B1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1A11DBB"/>
    <w:multiLevelType w:val="hybridMultilevel"/>
    <w:tmpl w:val="53127514"/>
    <w:lvl w:ilvl="0" w:tplc="23246C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4956A20"/>
    <w:multiLevelType w:val="hybridMultilevel"/>
    <w:tmpl w:val="1B6AF1A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491C"/>
    <w:multiLevelType w:val="hybridMultilevel"/>
    <w:tmpl w:val="D1F41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954FE4"/>
    <w:multiLevelType w:val="hybridMultilevel"/>
    <w:tmpl w:val="3FD2A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4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74ADD"/>
    <w:multiLevelType w:val="hybridMultilevel"/>
    <w:tmpl w:val="C9F677D0"/>
    <w:lvl w:ilvl="0" w:tplc="C160F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F66182"/>
    <w:multiLevelType w:val="hybridMultilevel"/>
    <w:tmpl w:val="F88E1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546F3"/>
    <w:multiLevelType w:val="hybridMultilevel"/>
    <w:tmpl w:val="40BE2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3B6857CA"/>
    <w:multiLevelType w:val="hybridMultilevel"/>
    <w:tmpl w:val="46160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40A1C"/>
    <w:multiLevelType w:val="multilevel"/>
    <w:tmpl w:val="8BDAA0F0"/>
    <w:lvl w:ilvl="0">
      <w:start w:val="3"/>
      <w:numFmt w:val="upperRoman"/>
      <w:suff w:val="nothing"/>
      <w:lvlText w:val="Článek %1."/>
      <w:lvlJc w:val="left"/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isLgl/>
      <w:lvlText w:val="%2."/>
      <w:lvlJc w:val="left"/>
      <w:pPr>
        <w:ind w:left="709" w:hanging="56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720" w:hanging="432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3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7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37"/>
  </w:num>
  <w:num w:numId="4">
    <w:abstractNumId w:val="14"/>
  </w:num>
  <w:num w:numId="5">
    <w:abstractNumId w:val="25"/>
  </w:num>
  <w:num w:numId="6">
    <w:abstractNumId w:val="30"/>
  </w:num>
  <w:num w:numId="7">
    <w:abstractNumId w:val="2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7"/>
  </w:num>
  <w:num w:numId="10">
    <w:abstractNumId w:val="9"/>
  </w:num>
  <w:num w:numId="11">
    <w:abstractNumId w:val="3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8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3"/>
  </w:num>
  <w:num w:numId="20">
    <w:abstractNumId w:val="12"/>
  </w:num>
  <w:num w:numId="21">
    <w:abstractNumId w:val="18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32"/>
  </w:num>
  <w:num w:numId="27">
    <w:abstractNumId w:val="11"/>
  </w:num>
  <w:num w:numId="28">
    <w:abstractNumId w:val="10"/>
  </w:num>
  <w:num w:numId="29">
    <w:abstractNumId w:val="2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8"/>
  </w:num>
  <w:num w:numId="38">
    <w:abstractNumId w:val="31"/>
  </w:num>
  <w:num w:numId="39">
    <w:abstractNumId w:val="3"/>
  </w:num>
  <w:num w:numId="40">
    <w:abstractNumId w:val="7"/>
  </w:num>
  <w:num w:numId="41">
    <w:abstractNumId w:val="16"/>
  </w:num>
  <w:num w:numId="42">
    <w:abstractNumId w:val="22"/>
  </w:num>
  <w:num w:numId="43">
    <w:abstractNumId w:val="1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1F62"/>
    <w:rsid w:val="0001373F"/>
    <w:rsid w:val="00017476"/>
    <w:rsid w:val="00021846"/>
    <w:rsid w:val="0002313E"/>
    <w:rsid w:val="00030C53"/>
    <w:rsid w:val="00031468"/>
    <w:rsid w:val="000354C3"/>
    <w:rsid w:val="00037325"/>
    <w:rsid w:val="0004432C"/>
    <w:rsid w:val="00051394"/>
    <w:rsid w:val="00065509"/>
    <w:rsid w:val="00072FEA"/>
    <w:rsid w:val="000774DA"/>
    <w:rsid w:val="00085594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0D1F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1F12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57E"/>
    <w:rsid w:val="001557E3"/>
    <w:rsid w:val="00160D2E"/>
    <w:rsid w:val="00163E82"/>
    <w:rsid w:val="001648E0"/>
    <w:rsid w:val="001664FE"/>
    <w:rsid w:val="001674B9"/>
    <w:rsid w:val="0017069F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3E2F"/>
    <w:rsid w:val="001A612C"/>
    <w:rsid w:val="001A6F78"/>
    <w:rsid w:val="001B0CCB"/>
    <w:rsid w:val="001B2461"/>
    <w:rsid w:val="001C39BD"/>
    <w:rsid w:val="001C65CE"/>
    <w:rsid w:val="001C77F1"/>
    <w:rsid w:val="001D2490"/>
    <w:rsid w:val="001D2DC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2C07"/>
    <w:rsid w:val="00204BCF"/>
    <w:rsid w:val="00207986"/>
    <w:rsid w:val="002106F8"/>
    <w:rsid w:val="00213001"/>
    <w:rsid w:val="002212CD"/>
    <w:rsid w:val="00234B4B"/>
    <w:rsid w:val="00242D79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6DD6"/>
    <w:rsid w:val="002875A2"/>
    <w:rsid w:val="00292B12"/>
    <w:rsid w:val="002971A4"/>
    <w:rsid w:val="00297BB4"/>
    <w:rsid w:val="002A7199"/>
    <w:rsid w:val="002B2584"/>
    <w:rsid w:val="002B666E"/>
    <w:rsid w:val="002B740F"/>
    <w:rsid w:val="002B76A2"/>
    <w:rsid w:val="002B7A44"/>
    <w:rsid w:val="002C0192"/>
    <w:rsid w:val="002C4BD8"/>
    <w:rsid w:val="002D29C0"/>
    <w:rsid w:val="002D30AE"/>
    <w:rsid w:val="002F33E8"/>
    <w:rsid w:val="002F467E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316A"/>
    <w:rsid w:val="003746EB"/>
    <w:rsid w:val="00376AEC"/>
    <w:rsid w:val="0038055D"/>
    <w:rsid w:val="00393A85"/>
    <w:rsid w:val="00395364"/>
    <w:rsid w:val="00395A55"/>
    <w:rsid w:val="003A0BDE"/>
    <w:rsid w:val="003A1D99"/>
    <w:rsid w:val="003A4BCF"/>
    <w:rsid w:val="003B6094"/>
    <w:rsid w:val="003C0211"/>
    <w:rsid w:val="003C73B9"/>
    <w:rsid w:val="003D4115"/>
    <w:rsid w:val="003D4214"/>
    <w:rsid w:val="003D4F63"/>
    <w:rsid w:val="003D7ABD"/>
    <w:rsid w:val="003E51C9"/>
    <w:rsid w:val="003E5E5C"/>
    <w:rsid w:val="003E6816"/>
    <w:rsid w:val="003E6F93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45494"/>
    <w:rsid w:val="00452B76"/>
    <w:rsid w:val="00452D27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5B9F"/>
    <w:rsid w:val="0047637D"/>
    <w:rsid w:val="0048190E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5518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1B4E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51B1"/>
    <w:rsid w:val="005D5E47"/>
    <w:rsid w:val="005D7E99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96268"/>
    <w:rsid w:val="006A461B"/>
    <w:rsid w:val="006B3269"/>
    <w:rsid w:val="006B3381"/>
    <w:rsid w:val="006B5093"/>
    <w:rsid w:val="006C0AFE"/>
    <w:rsid w:val="006C2FCA"/>
    <w:rsid w:val="006C3639"/>
    <w:rsid w:val="006C63D0"/>
    <w:rsid w:val="006C6D83"/>
    <w:rsid w:val="006E2AEE"/>
    <w:rsid w:val="006E36F4"/>
    <w:rsid w:val="006E5699"/>
    <w:rsid w:val="006E772C"/>
    <w:rsid w:val="006F3482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2709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377D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869AE"/>
    <w:rsid w:val="0089741F"/>
    <w:rsid w:val="00897FB0"/>
    <w:rsid w:val="008A4919"/>
    <w:rsid w:val="008A5236"/>
    <w:rsid w:val="008A52D1"/>
    <w:rsid w:val="008A7112"/>
    <w:rsid w:val="008B25F4"/>
    <w:rsid w:val="008B4A62"/>
    <w:rsid w:val="008C1A58"/>
    <w:rsid w:val="008D31BA"/>
    <w:rsid w:val="008D7E56"/>
    <w:rsid w:val="008E2B18"/>
    <w:rsid w:val="008E2B52"/>
    <w:rsid w:val="008E3565"/>
    <w:rsid w:val="008E53AC"/>
    <w:rsid w:val="008F18EB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219C"/>
    <w:rsid w:val="00977214"/>
    <w:rsid w:val="00977A21"/>
    <w:rsid w:val="00982254"/>
    <w:rsid w:val="00985349"/>
    <w:rsid w:val="00990EED"/>
    <w:rsid w:val="009A2FD9"/>
    <w:rsid w:val="009A2FF9"/>
    <w:rsid w:val="009A3BFB"/>
    <w:rsid w:val="009B1D22"/>
    <w:rsid w:val="009B53D0"/>
    <w:rsid w:val="009C06C1"/>
    <w:rsid w:val="009C1D42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25634"/>
    <w:rsid w:val="00A3185E"/>
    <w:rsid w:val="00A32D38"/>
    <w:rsid w:val="00A40197"/>
    <w:rsid w:val="00A408AE"/>
    <w:rsid w:val="00A43088"/>
    <w:rsid w:val="00A43E1E"/>
    <w:rsid w:val="00A57240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5624"/>
    <w:rsid w:val="00AE5A09"/>
    <w:rsid w:val="00AF7D9F"/>
    <w:rsid w:val="00B03D3C"/>
    <w:rsid w:val="00B10870"/>
    <w:rsid w:val="00B13AB6"/>
    <w:rsid w:val="00B15D32"/>
    <w:rsid w:val="00B17D7C"/>
    <w:rsid w:val="00B20092"/>
    <w:rsid w:val="00B220CE"/>
    <w:rsid w:val="00B25A62"/>
    <w:rsid w:val="00B30981"/>
    <w:rsid w:val="00B35D32"/>
    <w:rsid w:val="00B40A0A"/>
    <w:rsid w:val="00B52142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3690"/>
    <w:rsid w:val="00B945DB"/>
    <w:rsid w:val="00B948A1"/>
    <w:rsid w:val="00B979D4"/>
    <w:rsid w:val="00BB1134"/>
    <w:rsid w:val="00BB33B2"/>
    <w:rsid w:val="00BB75A0"/>
    <w:rsid w:val="00BC752D"/>
    <w:rsid w:val="00BD3FBF"/>
    <w:rsid w:val="00BD5C37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57D00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6FD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E436D"/>
    <w:rsid w:val="00DF1B0F"/>
    <w:rsid w:val="00E023B3"/>
    <w:rsid w:val="00E03BBB"/>
    <w:rsid w:val="00E06C9C"/>
    <w:rsid w:val="00E11C92"/>
    <w:rsid w:val="00E20831"/>
    <w:rsid w:val="00E20A9D"/>
    <w:rsid w:val="00E27615"/>
    <w:rsid w:val="00E302DF"/>
    <w:rsid w:val="00E43BDE"/>
    <w:rsid w:val="00E44C46"/>
    <w:rsid w:val="00E511AC"/>
    <w:rsid w:val="00E62210"/>
    <w:rsid w:val="00E630F3"/>
    <w:rsid w:val="00E64A81"/>
    <w:rsid w:val="00E6619E"/>
    <w:rsid w:val="00E671C9"/>
    <w:rsid w:val="00E7386B"/>
    <w:rsid w:val="00E80C1A"/>
    <w:rsid w:val="00E90AB1"/>
    <w:rsid w:val="00E92218"/>
    <w:rsid w:val="00E970DA"/>
    <w:rsid w:val="00E97E72"/>
    <w:rsid w:val="00EA1E93"/>
    <w:rsid w:val="00EA6136"/>
    <w:rsid w:val="00EA7C46"/>
    <w:rsid w:val="00EB1080"/>
    <w:rsid w:val="00EB2DE7"/>
    <w:rsid w:val="00EB45F4"/>
    <w:rsid w:val="00EB46C1"/>
    <w:rsid w:val="00EB5AA9"/>
    <w:rsid w:val="00EB5ADE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16A2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2776"/>
    <w:rsid w:val="00F45B58"/>
    <w:rsid w:val="00F461B6"/>
    <w:rsid w:val="00F464C0"/>
    <w:rsid w:val="00F527AE"/>
    <w:rsid w:val="00F569AF"/>
    <w:rsid w:val="00F6642B"/>
    <w:rsid w:val="00F85D7C"/>
    <w:rsid w:val="00F915BC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54DB"/>
    <w:rsid w:val="00FC7173"/>
    <w:rsid w:val="00FD3F5B"/>
    <w:rsid w:val="00FD4B64"/>
    <w:rsid w:val="00FD6B41"/>
    <w:rsid w:val="00FE1F43"/>
    <w:rsid w:val="00FE3AB7"/>
    <w:rsid w:val="00FE65DF"/>
    <w:rsid w:val="00FE7BDB"/>
    <w:rsid w:val="00FF07C4"/>
    <w:rsid w:val="00FF178D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6CB6445-65AC-4B87-8C76-7DDE548C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CE77-36F9-47E6-A2EB-70E6CA52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2120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8</cp:revision>
  <cp:lastPrinted>2020-05-12T07:51:00Z</cp:lastPrinted>
  <dcterms:created xsi:type="dcterms:W3CDTF">2020-11-12T12:13:00Z</dcterms:created>
  <dcterms:modified xsi:type="dcterms:W3CDTF">2020-11-18T09:08:00Z</dcterms:modified>
</cp:coreProperties>
</file>