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594590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604BA9">
        <w:rPr>
          <w:rFonts w:ascii="Arial" w:hAnsi="Arial" w:cs="Arial"/>
          <w:bCs/>
          <w:sz w:val="20"/>
          <w:szCs w:val="20"/>
        </w:rPr>
        <w:t>PaedDr. Jan Krchňavý</w:t>
      </w:r>
    </w:p>
    <w:p w:rsidR="00B92A9B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 xml:space="preserve">náměstek </w:t>
      </w:r>
      <w:r w:rsidR="00604BA9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>odboru školství, kultury     a sportu</w:t>
      </w:r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>Ing. Romana Maděrková</w:t>
      </w:r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>odboru školství, kultury     a sportu</w:t>
      </w:r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106771">
        <w:rPr>
          <w:rFonts w:ascii="Arial" w:hAnsi="Arial" w:cs="Arial"/>
          <w:bCs/>
          <w:sz w:val="36"/>
          <w:szCs w:val="36"/>
        </w:rPr>
        <w:t>08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9C119B">
        <w:rPr>
          <w:rFonts w:ascii="Arial" w:hAnsi="Arial" w:cs="Arial"/>
          <w:bCs/>
          <w:sz w:val="36"/>
          <w:szCs w:val="36"/>
        </w:rPr>
        <w:t>0</w:t>
      </w:r>
      <w:r w:rsidR="00106771">
        <w:rPr>
          <w:rFonts w:ascii="Arial" w:hAnsi="Arial" w:cs="Arial"/>
          <w:bCs/>
          <w:sz w:val="36"/>
          <w:szCs w:val="36"/>
        </w:rPr>
        <w:t>9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122BF" w:rsidRPr="007439B2" w:rsidRDefault="003122BF" w:rsidP="003122B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</w:rPr>
        <w:t xml:space="preserve">Kapitola 20 – školství, kultura a sport – </w:t>
      </w:r>
      <w:r>
        <w:rPr>
          <w:rFonts w:ascii="Arial" w:eastAsia="Arial Unicode MS" w:hAnsi="Arial" w:cs="Arial"/>
          <w:b/>
        </w:rPr>
        <w:t xml:space="preserve">Revokace části usnesení </w:t>
      </w:r>
      <w:r w:rsidRPr="00DE4452">
        <w:rPr>
          <w:rFonts w:ascii="Arial" w:eastAsia="Arial Unicode MS" w:hAnsi="Arial" w:cs="Arial"/>
          <w:b/>
        </w:rPr>
        <w:t xml:space="preserve">č. 1021 </w:t>
      </w:r>
      <w:r>
        <w:rPr>
          <w:rFonts w:ascii="Arial" w:hAnsi="Arial" w:cs="Arial"/>
          <w:b/>
        </w:rPr>
        <w:t>Zastupitelstva města Prostějova</w:t>
      </w:r>
      <w:r>
        <w:rPr>
          <w:rFonts w:ascii="Arial" w:eastAsia="Arial Unicode MS" w:hAnsi="Arial" w:cs="Arial"/>
          <w:b/>
        </w:rPr>
        <w:t xml:space="preserve"> </w:t>
      </w:r>
      <w:r w:rsidRPr="00DE4452">
        <w:rPr>
          <w:rFonts w:ascii="Arial" w:eastAsia="Arial Unicode MS" w:hAnsi="Arial" w:cs="Arial"/>
          <w:b/>
        </w:rPr>
        <w:t xml:space="preserve">ze dne </w:t>
      </w:r>
      <w:r>
        <w:rPr>
          <w:rFonts w:ascii="Arial" w:eastAsia="Arial Unicode MS" w:hAnsi="Arial" w:cs="Arial"/>
          <w:b/>
        </w:rPr>
        <w:t>0</w:t>
      </w:r>
      <w:r w:rsidRPr="00DE4452">
        <w:rPr>
          <w:rFonts w:ascii="Arial" w:eastAsia="Arial Unicode MS" w:hAnsi="Arial" w:cs="Arial"/>
          <w:b/>
        </w:rPr>
        <w:t xml:space="preserve">4. </w:t>
      </w:r>
      <w:r>
        <w:rPr>
          <w:rFonts w:ascii="Arial" w:eastAsia="Arial Unicode MS" w:hAnsi="Arial" w:cs="Arial"/>
          <w:b/>
        </w:rPr>
        <w:t>0</w:t>
      </w:r>
      <w:r w:rsidRPr="00DE4452">
        <w:rPr>
          <w:rFonts w:ascii="Arial" w:eastAsia="Arial Unicode MS" w:hAnsi="Arial" w:cs="Arial"/>
          <w:b/>
        </w:rPr>
        <w:t>2. 2020</w:t>
      </w:r>
      <w:r>
        <w:rPr>
          <w:rFonts w:ascii="Arial" w:eastAsia="Arial Unicode MS" w:hAnsi="Arial" w:cs="Arial"/>
          <w:b/>
        </w:rPr>
        <w:t xml:space="preserve"> MŠ PV, Rumunská ul. 23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43299B">
      <w:pPr>
        <w:numPr>
          <w:ilvl w:val="0"/>
          <w:numId w:val="3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e v o k u j e  </w:t>
      </w:r>
    </w:p>
    <w:p w:rsidR="003122BF" w:rsidRPr="00D82D68" w:rsidRDefault="003122BF" w:rsidP="003122BF">
      <w:pPr>
        <w:ind w:left="284"/>
        <w:rPr>
          <w:rFonts w:ascii="Arial" w:hAnsi="Arial" w:cs="Arial"/>
          <w:b/>
        </w:rPr>
      </w:pPr>
      <w:r w:rsidRPr="00D82D68">
        <w:rPr>
          <w:rFonts w:ascii="Arial" w:hAnsi="Arial" w:cs="Arial"/>
          <w:b/>
        </w:rPr>
        <w:t>část usnesení č. 1021 ze dne 4. 2. 2020, kterým Zastupitelstvo</w:t>
      </w:r>
    </w:p>
    <w:p w:rsidR="003122BF" w:rsidRDefault="003122BF" w:rsidP="003122BF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města Prostějova schválilo rozpočtové opatření, kterým se zvý</w:t>
      </w:r>
      <w:r w:rsidRPr="00FF6094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il</w:t>
      </w:r>
      <w:r w:rsidRPr="00FF6094">
        <w:rPr>
          <w:rFonts w:ascii="Arial" w:hAnsi="Arial" w:cs="Arial"/>
          <w:b/>
        </w:rPr>
        <w:t xml:space="preserve"> rozpočet výdajů</w:t>
      </w:r>
      <w:r>
        <w:rPr>
          <w:rFonts w:ascii="Arial" w:hAnsi="Arial" w:cs="Arial"/>
          <w:b/>
        </w:rPr>
        <w:t>:</w:t>
      </w:r>
    </w:p>
    <w:p w:rsidR="00EF63B3" w:rsidRDefault="00EF63B3" w:rsidP="00EF63B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 xml:space="preserve">                   </w:t>
      </w:r>
    </w:p>
    <w:p w:rsidR="00EF63B3" w:rsidRDefault="00EF63B3" w:rsidP="00EF63B3">
      <w:pPr>
        <w:ind w:left="284"/>
        <w:rPr>
          <w:rFonts w:ascii="Arial" w:hAnsi="Arial" w:cs="Arial"/>
          <w:b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EF63B3" w:rsidRPr="0062055B" w:rsidTr="009B4CFE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ODPA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 hodnotu v Kč</w:t>
            </w:r>
          </w:p>
        </w:tc>
      </w:tr>
      <w:tr w:rsidR="00EF63B3" w:rsidRPr="0062055B" w:rsidTr="009B4CFE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EF63B3" w:rsidRPr="0062055B" w:rsidTr="009B4CFE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snížení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položky </w:t>
            </w: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Rumunská ul. 23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odpadů na pracovišti MŠ Rumunská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</w:tr>
    </w:tbl>
    <w:p w:rsidR="00EF63B3" w:rsidRPr="00604BA9" w:rsidRDefault="00EF63B3" w:rsidP="00EF63B3">
      <w:pPr>
        <w:rPr>
          <w:rFonts w:ascii="Arial" w:hAnsi="Arial" w:cs="Arial"/>
          <w:b/>
        </w:rPr>
      </w:pPr>
    </w:p>
    <w:p w:rsidR="00EF63B3" w:rsidRDefault="00EF63B3" w:rsidP="00EF63B3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</w:rPr>
        <w:t>b) s c h v a l u j e</w:t>
      </w:r>
      <w:r w:rsidRPr="003152CE">
        <w:rPr>
          <w:rFonts w:ascii="Arial" w:hAnsi="Arial" w:cs="Arial"/>
          <w:b/>
          <w:bCs/>
          <w:lang w:val="x-none"/>
        </w:rPr>
        <w:t xml:space="preserve"> </w:t>
      </w:r>
    </w:p>
    <w:p w:rsidR="00EF63B3" w:rsidRDefault="00EF63B3" w:rsidP="00EF63B3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rozpočtové opatření, kterým se </w:t>
      </w:r>
    </w:p>
    <w:p w:rsidR="00EF63B3" w:rsidRDefault="00EF63B3" w:rsidP="00EF63B3">
      <w:pPr>
        <w:rPr>
          <w:rFonts w:ascii="Arial" w:hAnsi="Arial" w:cs="Arial"/>
          <w:b/>
        </w:rPr>
      </w:pPr>
    </w:p>
    <w:p w:rsidR="00EF63B3" w:rsidRPr="00D24428" w:rsidRDefault="00EF63B3" w:rsidP="00EF63B3">
      <w:pPr>
        <w:rPr>
          <w:rFonts w:ascii="Arial" w:hAnsi="Arial" w:cs="Arial"/>
          <w:b/>
        </w:rPr>
      </w:pPr>
      <w:r w:rsidRPr="00D24428">
        <w:rPr>
          <w:rFonts w:ascii="Arial" w:hAnsi="Arial" w:cs="Arial"/>
          <w:b/>
        </w:rPr>
        <w:t xml:space="preserve">     - zvyšuje rozpočet výdajů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EF63B3" w:rsidRPr="0062055B" w:rsidTr="009B4CFE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ODPA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 hodnotu v Kč</w:t>
            </w:r>
          </w:p>
        </w:tc>
      </w:tr>
      <w:tr w:rsidR="00EF63B3" w:rsidRPr="0062055B" w:rsidTr="009B4CFE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734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EF63B3" w:rsidRPr="0062055B" w:rsidTr="009B4CFE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Rumunská ul. 23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odpadů na pracovišti MŠ Rumunská)</w:t>
            </w:r>
          </w:p>
        </w:tc>
      </w:tr>
      <w:tr w:rsidR="00EF63B3" w:rsidRPr="0062055B" w:rsidTr="009B4CFE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761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EF63B3" w:rsidRPr="0062055B" w:rsidTr="009B4CFE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B3" w:rsidRPr="0062055B" w:rsidRDefault="00EF63B3" w:rsidP="009B4C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Rumunská ul. 23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teras na pracovišti MŠ Rumunská)</w:t>
            </w:r>
          </w:p>
        </w:tc>
      </w:tr>
    </w:tbl>
    <w:p w:rsidR="00EF63B3" w:rsidRDefault="00EF63B3" w:rsidP="00EF63B3"/>
    <w:p w:rsidR="0043299B" w:rsidRPr="00604BA9" w:rsidRDefault="0043299B" w:rsidP="0043299B">
      <w:pPr>
        <w:rPr>
          <w:rFonts w:ascii="Arial" w:hAnsi="Arial" w:cs="Arial"/>
          <w:b/>
        </w:rPr>
      </w:pPr>
    </w:p>
    <w:p w:rsidR="0043299B" w:rsidRDefault="0043299B" w:rsidP="0043299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3122BF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730"/>
        <w:gridCol w:w="2694"/>
        <w:gridCol w:w="1701"/>
        <w:gridCol w:w="3397"/>
      </w:tblGrid>
      <w:tr w:rsidR="003410CC" w:rsidRPr="00354CAE" w:rsidTr="007B7BD3">
        <w:tc>
          <w:tcPr>
            <w:tcW w:w="9522" w:type="dxa"/>
            <w:gridSpan w:val="4"/>
          </w:tcPr>
          <w:p w:rsidR="003410CC" w:rsidRPr="009C119B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 o d p i s y</w:t>
            </w:r>
          </w:p>
        </w:tc>
      </w:tr>
      <w:tr w:rsidR="00430DA1" w:rsidRPr="00354CAE" w:rsidTr="007B7BD3">
        <w:trPr>
          <w:trHeight w:val="1250"/>
        </w:trPr>
        <w:tc>
          <w:tcPr>
            <w:tcW w:w="1730" w:type="dxa"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Předkladatel</w:t>
            </w:r>
            <w:r>
              <w:rPr>
                <w:rFonts w:ascii="Arial" w:hAnsi="Arial" w:cs="Arial"/>
                <w:bCs/>
              </w:rPr>
              <w:t>é</w:t>
            </w:r>
          </w:p>
        </w:tc>
        <w:tc>
          <w:tcPr>
            <w:tcW w:w="2694" w:type="dxa"/>
            <w:vAlign w:val="center"/>
          </w:tcPr>
          <w:p w:rsidR="00430DA1" w:rsidRPr="009C119B" w:rsidRDefault="00D02439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PaedDr. Jan Krchňavý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náměstek primátora</w:t>
            </w:r>
          </w:p>
        </w:tc>
        <w:tc>
          <w:tcPr>
            <w:tcW w:w="1701" w:type="dxa"/>
            <w:vAlign w:val="center"/>
          </w:tcPr>
          <w:p w:rsidR="00430DA1" w:rsidRPr="009C119B" w:rsidRDefault="00EF63B3" w:rsidP="00E7138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7138D">
              <w:rPr>
                <w:rFonts w:ascii="Arial" w:hAnsi="Arial" w:cs="Arial"/>
                <w:bCs/>
              </w:rPr>
              <w:t>6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8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97" w:type="dxa"/>
            <w:vAlign w:val="center"/>
          </w:tcPr>
          <w:p w:rsidR="007B7BD3" w:rsidRPr="009C119B" w:rsidRDefault="007B7BD3" w:rsidP="007B7BD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PaedDr. Jan Krchňavý v. r., </w:t>
            </w:r>
          </w:p>
          <w:p w:rsidR="00430DA1" w:rsidRPr="00882A18" w:rsidRDefault="007B7BD3" w:rsidP="007B7BD3">
            <w:r w:rsidRPr="009C119B">
              <w:rPr>
                <w:rFonts w:ascii="Arial" w:hAnsi="Arial" w:cs="Arial"/>
                <w:bCs/>
              </w:rPr>
              <w:t>náměstek primátora</w:t>
            </w:r>
          </w:p>
        </w:tc>
      </w:tr>
      <w:tr w:rsidR="003410CC" w:rsidRPr="00354CAE" w:rsidTr="007B7BD3">
        <w:trPr>
          <w:trHeight w:val="837"/>
        </w:trPr>
        <w:tc>
          <w:tcPr>
            <w:tcW w:w="1730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2694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  <w:tc>
          <w:tcPr>
            <w:tcW w:w="1701" w:type="dxa"/>
            <w:vAlign w:val="center"/>
          </w:tcPr>
          <w:p w:rsidR="003410CC" w:rsidRPr="009C119B" w:rsidRDefault="00263336" w:rsidP="00E7138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7138D">
              <w:rPr>
                <w:rFonts w:ascii="Arial" w:hAnsi="Arial" w:cs="Arial"/>
                <w:bCs/>
              </w:rPr>
              <w:t>6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08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C119B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97" w:type="dxa"/>
            <w:vAlign w:val="center"/>
          </w:tcPr>
          <w:p w:rsidR="007B7BD3" w:rsidRPr="009C119B" w:rsidRDefault="007B7BD3" w:rsidP="007B7BD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>
              <w:rPr>
                <w:rFonts w:ascii="Arial" w:hAnsi="Arial" w:cs="Arial"/>
                <w:bCs/>
              </w:rPr>
              <w:t xml:space="preserve"> v. r., </w:t>
            </w:r>
          </w:p>
          <w:p w:rsidR="003410CC" w:rsidRPr="00276AFD" w:rsidRDefault="007B7BD3" w:rsidP="007B7BD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</w:tr>
      <w:tr w:rsidR="003410CC" w:rsidRPr="00354CAE" w:rsidTr="007B7BD3">
        <w:trPr>
          <w:trHeight w:val="849"/>
        </w:trPr>
        <w:tc>
          <w:tcPr>
            <w:tcW w:w="1730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2694" w:type="dxa"/>
            <w:vAlign w:val="center"/>
          </w:tcPr>
          <w:p w:rsidR="003410CC" w:rsidRPr="009C119B" w:rsidRDefault="00CF69B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Romana Maděrková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  <w:tc>
          <w:tcPr>
            <w:tcW w:w="1701" w:type="dxa"/>
            <w:vAlign w:val="center"/>
          </w:tcPr>
          <w:p w:rsidR="003410CC" w:rsidRPr="009C119B" w:rsidRDefault="00263336" w:rsidP="00E7138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7138D">
              <w:rPr>
                <w:rFonts w:ascii="Arial" w:hAnsi="Arial" w:cs="Arial"/>
                <w:bCs/>
              </w:rPr>
              <w:t>6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08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C119B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97" w:type="dxa"/>
            <w:vAlign w:val="center"/>
          </w:tcPr>
          <w:p w:rsidR="007B7BD3" w:rsidRPr="009C119B" w:rsidRDefault="007B7BD3" w:rsidP="007B7BD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Ing. Romana Maděrková v. r., </w:t>
            </w:r>
          </w:p>
          <w:p w:rsidR="003410CC" w:rsidRPr="00276AFD" w:rsidRDefault="007B7BD3" w:rsidP="007B7BD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</w:tr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A54E7" w:rsidRDefault="006A54E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A54E7" w:rsidRDefault="006A54E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367FA9" w:rsidRDefault="00435CAD" w:rsidP="00491249">
      <w:pPr>
        <w:shd w:val="clear" w:color="auto" w:fill="FFFFFF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Jana Průšová, ředitelka MŠ PV, ul. Rumunská 23 požádala o schválení změny účelu použití účelově určeného neinvestičního příspěvku ve výši 160.000 Kč na opravy teras u budovy školy. Jsou v havarijním stavu a hrozí nebezpečí úrazu. </w:t>
      </w:r>
      <w:r w:rsidR="00367FA9" w:rsidRPr="00AD641B">
        <w:rPr>
          <w:rFonts w:ascii="Arial" w:hAnsi="Arial" w:cs="Arial"/>
        </w:rPr>
        <w:t>Zastupitelstvo města Prostějova na svém zasedání dne 4. 2. 2020 schválilo usnesením č. 1021 rozpočtové opatření, kterým se zv</w:t>
      </w:r>
      <w:r w:rsidR="00367FA9">
        <w:rPr>
          <w:rFonts w:ascii="Arial" w:hAnsi="Arial" w:cs="Arial"/>
        </w:rPr>
        <w:t>ý</w:t>
      </w:r>
      <w:r w:rsidR="00367FA9" w:rsidRPr="00AD641B">
        <w:rPr>
          <w:rFonts w:ascii="Arial" w:hAnsi="Arial" w:cs="Arial"/>
        </w:rPr>
        <w:t>š</w:t>
      </w:r>
      <w:r w:rsidR="00367FA9">
        <w:rPr>
          <w:rFonts w:ascii="Arial" w:hAnsi="Arial" w:cs="Arial"/>
        </w:rPr>
        <w:t>il</w:t>
      </w:r>
      <w:r w:rsidR="00367FA9" w:rsidRPr="00AD641B">
        <w:rPr>
          <w:rFonts w:ascii="Arial" w:hAnsi="Arial" w:cs="Arial"/>
        </w:rPr>
        <w:t xml:space="preserve"> rozpočet výdajů na </w:t>
      </w:r>
      <w:r w:rsidR="00367FA9" w:rsidRPr="00FF6094">
        <w:rPr>
          <w:rFonts w:ascii="Arial" w:hAnsi="Arial" w:cs="Arial"/>
        </w:rPr>
        <w:t>oprav</w:t>
      </w:r>
      <w:r w:rsidR="00367FA9">
        <w:rPr>
          <w:rFonts w:ascii="Arial" w:hAnsi="Arial" w:cs="Arial"/>
        </w:rPr>
        <w:t>u</w:t>
      </w:r>
      <w:r w:rsidR="00367FA9" w:rsidRPr="00FF6094">
        <w:rPr>
          <w:rFonts w:ascii="Arial" w:hAnsi="Arial" w:cs="Arial"/>
        </w:rPr>
        <w:t xml:space="preserve"> </w:t>
      </w:r>
      <w:r w:rsidR="00367FA9">
        <w:rPr>
          <w:rFonts w:ascii="Arial" w:hAnsi="Arial" w:cs="Arial"/>
        </w:rPr>
        <w:t>odpadů na pracovišti MŠ PV, Rumunská ve výši 250.000 Kč.</w:t>
      </w:r>
    </w:p>
    <w:p w:rsidR="00435CAD" w:rsidRPr="00A06E3B" w:rsidRDefault="00435CAD" w:rsidP="00491249">
      <w:pPr>
        <w:shd w:val="clear" w:color="auto" w:fill="FFFFFF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Po provedeném výběrovém řízení byl vybrán zhotovitel, který zakázku provedl za nižší cenu – cca 90.000 Kč. Z důvodu hrozícího úrazu na terasách školy požádala ředitelka o </w:t>
      </w:r>
      <w:r w:rsidR="00E7138D">
        <w:rPr>
          <w:rFonts w:ascii="Arial" w:eastAsia="Arial Unicode MS" w:hAnsi="Arial" w:cs="Arial"/>
        </w:rPr>
        <w:t xml:space="preserve">možnost </w:t>
      </w:r>
      <w:r>
        <w:rPr>
          <w:rFonts w:ascii="Arial" w:eastAsia="Arial Unicode MS" w:hAnsi="Arial" w:cs="Arial"/>
        </w:rPr>
        <w:t>změn</w:t>
      </w:r>
      <w:r w:rsidR="00E7138D">
        <w:rPr>
          <w:rFonts w:ascii="Arial" w:eastAsia="Arial Unicode MS" w:hAnsi="Arial" w:cs="Arial"/>
        </w:rPr>
        <w:t xml:space="preserve">y </w:t>
      </w:r>
      <w:r w:rsidR="0083016B">
        <w:rPr>
          <w:rFonts w:ascii="Arial" w:eastAsia="Arial Unicode MS" w:hAnsi="Arial" w:cs="Arial"/>
        </w:rPr>
        <w:t xml:space="preserve">účelu </w:t>
      </w:r>
      <w:r w:rsidR="00E7138D">
        <w:rPr>
          <w:rFonts w:ascii="Arial" w:eastAsia="Arial Unicode MS" w:hAnsi="Arial" w:cs="Arial"/>
        </w:rPr>
        <w:t>použití části schváleného neinvestičního příspěvku</w:t>
      </w:r>
      <w:r>
        <w:rPr>
          <w:rFonts w:ascii="Arial" w:eastAsia="Arial Unicode MS" w:hAnsi="Arial" w:cs="Arial"/>
        </w:rPr>
        <w:t xml:space="preserve"> na opravy teras. </w:t>
      </w:r>
    </w:p>
    <w:p w:rsidR="003234C4" w:rsidRPr="00A06E3B" w:rsidRDefault="00A73A5F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Rada města Prostějova dne </w:t>
      </w:r>
      <w:r w:rsidR="00E03724">
        <w:rPr>
          <w:rFonts w:ascii="Arial" w:eastAsia="Arial Unicode MS" w:hAnsi="Arial" w:cs="Arial"/>
        </w:rPr>
        <w:t>25</w:t>
      </w:r>
      <w:r>
        <w:rPr>
          <w:rFonts w:ascii="Arial" w:eastAsia="Arial Unicode MS" w:hAnsi="Arial" w:cs="Arial"/>
        </w:rPr>
        <w:t xml:space="preserve">. </w:t>
      </w:r>
      <w:r w:rsidR="00E03724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</w:rPr>
        <w:t>. 2020 usnesením č.</w:t>
      </w:r>
      <w:r w:rsidR="005804ED">
        <w:rPr>
          <w:rFonts w:ascii="Arial" w:eastAsia="Arial Unicode MS" w:hAnsi="Arial" w:cs="Arial"/>
        </w:rPr>
        <w:t xml:space="preserve"> 0613 </w:t>
      </w:r>
      <w:r>
        <w:rPr>
          <w:rFonts w:ascii="Arial" w:eastAsia="Arial Unicode MS" w:hAnsi="Arial" w:cs="Arial"/>
        </w:rPr>
        <w:t xml:space="preserve">doporučila Zastupitelstvu města Prostějova výše uvedené rozpočtové opatření schválit. </w:t>
      </w:r>
    </w:p>
    <w:p w:rsidR="00A06E3B" w:rsidRPr="00A06E3B" w:rsidRDefault="00F10FBD" w:rsidP="00A06E3B">
      <w:pPr>
        <w:keepLines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předložen Finančnímu výboru ZMP na jednání</w:t>
      </w:r>
      <w:r w:rsidR="00882A18">
        <w:rPr>
          <w:rFonts w:ascii="Arial" w:hAnsi="Arial" w:cs="Arial"/>
        </w:rPr>
        <w:t xml:space="preserve"> </w:t>
      </w:r>
      <w:r w:rsidR="00E03724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6D6F11">
        <w:rPr>
          <w:rFonts w:ascii="Arial" w:hAnsi="Arial" w:cs="Arial"/>
        </w:rPr>
        <w:t xml:space="preserve"> 0</w:t>
      </w:r>
      <w:r w:rsidR="00E03724">
        <w:rPr>
          <w:rFonts w:ascii="Arial" w:hAnsi="Arial" w:cs="Arial"/>
        </w:rPr>
        <w:t>9</w:t>
      </w:r>
      <w:r>
        <w:rPr>
          <w:rFonts w:ascii="Arial" w:hAnsi="Arial" w:cs="Arial"/>
        </w:rPr>
        <w:t>. 2020.</w:t>
      </w:r>
      <w:r w:rsidR="00A06E3B" w:rsidRPr="00A06E3B">
        <w:rPr>
          <w:rFonts w:ascii="Arial" w:hAnsi="Arial" w:cs="Arial"/>
        </w:rPr>
        <w:t xml:space="preserve">                                     </w:t>
      </w:r>
    </w:p>
    <w:p w:rsidR="006B3179" w:rsidRDefault="006B3179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Pr="006B3179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B8533E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A113BE" w:rsidRPr="00FD0CF3" w:rsidRDefault="00A113BE" w:rsidP="00B8533E">
      <w:pPr>
        <w:jc w:val="both"/>
        <w:rPr>
          <w:rFonts w:ascii="Arial" w:hAnsi="Arial" w:cs="Arial"/>
          <w:bCs/>
        </w:rPr>
      </w:pPr>
    </w:p>
    <w:p w:rsidR="00490073" w:rsidRDefault="00490073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</w:t>
      </w:r>
      <w:r w:rsidRPr="00581D2D">
        <w:rPr>
          <w:rFonts w:ascii="Arial" w:hAnsi="Arial" w:cs="Arial"/>
          <w:bCs/>
        </w:rPr>
        <w:t xml:space="preserve"> žádost školy</w:t>
      </w: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</w:t>
      </w: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Pr="00581D2D" w:rsidRDefault="00E03724" w:rsidP="00A73A5F">
      <w:pPr>
        <w:jc w:val="both"/>
        <w:rPr>
          <w:rFonts w:ascii="Arial" w:hAnsi="Arial" w:cs="Arial"/>
          <w:bCs/>
        </w:rPr>
      </w:pPr>
      <w:r w:rsidRPr="00C45B9B">
        <w:rPr>
          <w:noProof/>
          <w:sz w:val="20"/>
          <w:szCs w:val="20"/>
        </w:rPr>
        <w:drawing>
          <wp:inline distT="0" distB="0" distL="0" distR="0" wp14:anchorId="18395305" wp14:editId="6A329532">
            <wp:extent cx="6031230" cy="729805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D2D" w:rsidRPr="00581D2D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96" w:rsidRDefault="00BE1E96" w:rsidP="00C71327">
      <w:r>
        <w:separator/>
      </w:r>
    </w:p>
  </w:endnote>
  <w:endnote w:type="continuationSeparator" w:id="0">
    <w:p w:rsidR="00BE1E96" w:rsidRDefault="00BE1E9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43299B">
      <w:rPr>
        <w:rFonts w:ascii="Arial" w:eastAsiaTheme="majorEastAsia" w:hAnsi="Arial" w:cs="Arial"/>
        <w:sz w:val="20"/>
        <w:szCs w:val="20"/>
      </w:rPr>
      <w:t>16</w:t>
    </w:r>
    <w:r>
      <w:rPr>
        <w:rFonts w:ascii="Arial" w:eastAsiaTheme="majorEastAsia" w:hAnsi="Arial" w:cs="Arial"/>
        <w:sz w:val="20"/>
        <w:szCs w:val="20"/>
      </w:rPr>
      <w:t>. 0</w:t>
    </w:r>
    <w:r w:rsidR="00882A18">
      <w:rPr>
        <w:rFonts w:ascii="Arial" w:eastAsiaTheme="majorEastAsia" w:hAnsi="Arial" w:cs="Arial"/>
        <w:sz w:val="20"/>
        <w:szCs w:val="20"/>
      </w:rPr>
      <w:t>6</w:t>
    </w:r>
    <w:r>
      <w:rPr>
        <w:rFonts w:ascii="Arial" w:eastAsiaTheme="majorEastAsia" w:hAnsi="Arial" w:cs="Arial"/>
        <w:sz w:val="20"/>
        <w:szCs w:val="20"/>
      </w:rPr>
      <w:t>. 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A314A" w:rsidRPr="005A314A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3122BF" w:rsidRPr="003122BF" w:rsidRDefault="003122BF" w:rsidP="003122BF">
    <w:pPr>
      <w:tabs>
        <w:tab w:val="left" w:pos="0"/>
      </w:tabs>
      <w:jc w:val="both"/>
      <w:rPr>
        <w:rFonts w:ascii="Arial" w:hAnsi="Arial" w:cs="Arial"/>
        <w:b/>
        <w:bCs/>
      </w:rPr>
    </w:pPr>
    <w:r w:rsidRPr="003122BF">
      <w:rPr>
        <w:rFonts w:ascii="Arial" w:hAnsi="Arial" w:cs="Arial"/>
        <w:b/>
        <w:bCs/>
      </w:rPr>
      <w:t>Kapitola 20 – školství, kultura a sport – Revokace části usnesení č. 1021 Zastupitelstva města Prostějova ze dne 04. 02. 2020 MŠ PV, Rumunská ul. 23</w:t>
    </w:r>
  </w:p>
  <w:p w:rsidR="00FF6BF4" w:rsidRPr="00F336A7" w:rsidRDefault="00FF6BF4" w:rsidP="003122BF">
    <w:pPr>
      <w:tabs>
        <w:tab w:val="left" w:pos="0"/>
      </w:tabs>
      <w:jc w:val="both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96" w:rsidRDefault="00BE1E96" w:rsidP="00C71327">
      <w:r>
        <w:separator/>
      </w:r>
    </w:p>
  </w:footnote>
  <w:footnote w:type="continuationSeparator" w:id="0">
    <w:p w:rsidR="00BE1E96" w:rsidRDefault="00BE1E96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B2B"/>
    <w:multiLevelType w:val="hybridMultilevel"/>
    <w:tmpl w:val="0D90C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46AEF"/>
    <w:multiLevelType w:val="hybridMultilevel"/>
    <w:tmpl w:val="F322FAEA"/>
    <w:lvl w:ilvl="0" w:tplc="8DEC0A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7"/>
  </w:num>
  <w:num w:numId="28">
    <w:abstractNumId w:val="4"/>
  </w:num>
  <w:num w:numId="29">
    <w:abstractNumId w:val="6"/>
  </w:num>
  <w:num w:numId="30">
    <w:abstractNumId w:val="21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67581"/>
    <w:rsid w:val="00072FEA"/>
    <w:rsid w:val="000774DA"/>
    <w:rsid w:val="00082ABB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9BE"/>
    <w:rsid w:val="00100A26"/>
    <w:rsid w:val="001045F0"/>
    <w:rsid w:val="00105483"/>
    <w:rsid w:val="00106771"/>
    <w:rsid w:val="00117112"/>
    <w:rsid w:val="001205EA"/>
    <w:rsid w:val="0012120A"/>
    <w:rsid w:val="001233F0"/>
    <w:rsid w:val="001235F2"/>
    <w:rsid w:val="0012717B"/>
    <w:rsid w:val="0013267A"/>
    <w:rsid w:val="00134195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111D"/>
    <w:rsid w:val="001822FE"/>
    <w:rsid w:val="00183401"/>
    <w:rsid w:val="001865DA"/>
    <w:rsid w:val="001900E8"/>
    <w:rsid w:val="00190E28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106F8"/>
    <w:rsid w:val="002121E1"/>
    <w:rsid w:val="00213001"/>
    <w:rsid w:val="00217585"/>
    <w:rsid w:val="002318B1"/>
    <w:rsid w:val="00234B4B"/>
    <w:rsid w:val="0023565B"/>
    <w:rsid w:val="00244B64"/>
    <w:rsid w:val="00245841"/>
    <w:rsid w:val="00250140"/>
    <w:rsid w:val="00252D23"/>
    <w:rsid w:val="002563EF"/>
    <w:rsid w:val="002623EC"/>
    <w:rsid w:val="00263336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2E7B"/>
    <w:rsid w:val="002B666E"/>
    <w:rsid w:val="002B76A2"/>
    <w:rsid w:val="002C0192"/>
    <w:rsid w:val="002C4BD8"/>
    <w:rsid w:val="002D07F0"/>
    <w:rsid w:val="002D29C0"/>
    <w:rsid w:val="002F33E8"/>
    <w:rsid w:val="00301202"/>
    <w:rsid w:val="003074FB"/>
    <w:rsid w:val="003122BF"/>
    <w:rsid w:val="00313C50"/>
    <w:rsid w:val="003234C4"/>
    <w:rsid w:val="0033417B"/>
    <w:rsid w:val="003410CC"/>
    <w:rsid w:val="00347C0D"/>
    <w:rsid w:val="00350993"/>
    <w:rsid w:val="00350BEB"/>
    <w:rsid w:val="00350FDB"/>
    <w:rsid w:val="003525FB"/>
    <w:rsid w:val="003541B9"/>
    <w:rsid w:val="00354CAE"/>
    <w:rsid w:val="00355113"/>
    <w:rsid w:val="00362F9B"/>
    <w:rsid w:val="00364D83"/>
    <w:rsid w:val="00367FA9"/>
    <w:rsid w:val="003700BA"/>
    <w:rsid w:val="00373166"/>
    <w:rsid w:val="003746EB"/>
    <w:rsid w:val="00376AEC"/>
    <w:rsid w:val="0038055D"/>
    <w:rsid w:val="00380A3C"/>
    <w:rsid w:val="003874BF"/>
    <w:rsid w:val="00393A85"/>
    <w:rsid w:val="00395364"/>
    <w:rsid w:val="00395A55"/>
    <w:rsid w:val="003A2AD5"/>
    <w:rsid w:val="003A627B"/>
    <w:rsid w:val="003B6094"/>
    <w:rsid w:val="003C0211"/>
    <w:rsid w:val="003C73B9"/>
    <w:rsid w:val="003D4115"/>
    <w:rsid w:val="003D4214"/>
    <w:rsid w:val="003D7ABD"/>
    <w:rsid w:val="003E37EC"/>
    <w:rsid w:val="003E398E"/>
    <w:rsid w:val="003E51C9"/>
    <w:rsid w:val="003E5E5C"/>
    <w:rsid w:val="003E6816"/>
    <w:rsid w:val="003F2EC3"/>
    <w:rsid w:val="00404F71"/>
    <w:rsid w:val="0040626B"/>
    <w:rsid w:val="004063DE"/>
    <w:rsid w:val="00414DA0"/>
    <w:rsid w:val="00423569"/>
    <w:rsid w:val="0042683F"/>
    <w:rsid w:val="00427CAF"/>
    <w:rsid w:val="00430DA1"/>
    <w:rsid w:val="00431241"/>
    <w:rsid w:val="0043299B"/>
    <w:rsid w:val="00435CAD"/>
    <w:rsid w:val="00440E5D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249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042B"/>
    <w:rsid w:val="005804ED"/>
    <w:rsid w:val="00581D2D"/>
    <w:rsid w:val="00582691"/>
    <w:rsid w:val="00582C6A"/>
    <w:rsid w:val="00583355"/>
    <w:rsid w:val="00594590"/>
    <w:rsid w:val="00597BE0"/>
    <w:rsid w:val="00597C44"/>
    <w:rsid w:val="005A0A7C"/>
    <w:rsid w:val="005A314A"/>
    <w:rsid w:val="005A46B6"/>
    <w:rsid w:val="005A59BB"/>
    <w:rsid w:val="005A7000"/>
    <w:rsid w:val="005B0937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444"/>
    <w:rsid w:val="00690806"/>
    <w:rsid w:val="0069459A"/>
    <w:rsid w:val="0069580F"/>
    <w:rsid w:val="006A461B"/>
    <w:rsid w:val="006A54E7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247E"/>
    <w:rsid w:val="006D6F11"/>
    <w:rsid w:val="006E2AEE"/>
    <w:rsid w:val="006E5699"/>
    <w:rsid w:val="006E772C"/>
    <w:rsid w:val="006F60F1"/>
    <w:rsid w:val="00710CAD"/>
    <w:rsid w:val="007125D4"/>
    <w:rsid w:val="00716868"/>
    <w:rsid w:val="007178DC"/>
    <w:rsid w:val="00717A00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DD6"/>
    <w:rsid w:val="007B7BD3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5274"/>
    <w:rsid w:val="00804727"/>
    <w:rsid w:val="00807414"/>
    <w:rsid w:val="00810A67"/>
    <w:rsid w:val="00822D80"/>
    <w:rsid w:val="0083016B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02BC"/>
    <w:rsid w:val="00882A18"/>
    <w:rsid w:val="008869AE"/>
    <w:rsid w:val="0089741F"/>
    <w:rsid w:val="00897FB0"/>
    <w:rsid w:val="008A2EEA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14CE"/>
    <w:rsid w:val="00977214"/>
    <w:rsid w:val="00977A21"/>
    <w:rsid w:val="009A18EF"/>
    <w:rsid w:val="009A2FD9"/>
    <w:rsid w:val="009A2FF9"/>
    <w:rsid w:val="009A3BFB"/>
    <w:rsid w:val="009B1D22"/>
    <w:rsid w:val="009C06C1"/>
    <w:rsid w:val="009C119B"/>
    <w:rsid w:val="009C4C4A"/>
    <w:rsid w:val="009D1A86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6115E"/>
    <w:rsid w:val="00A6378A"/>
    <w:rsid w:val="00A66A63"/>
    <w:rsid w:val="00A70A29"/>
    <w:rsid w:val="00A73233"/>
    <w:rsid w:val="00A73961"/>
    <w:rsid w:val="00A73A5F"/>
    <w:rsid w:val="00A75BE1"/>
    <w:rsid w:val="00A76FE0"/>
    <w:rsid w:val="00A81E89"/>
    <w:rsid w:val="00A90B01"/>
    <w:rsid w:val="00A92D2F"/>
    <w:rsid w:val="00A947B1"/>
    <w:rsid w:val="00A94A44"/>
    <w:rsid w:val="00A95291"/>
    <w:rsid w:val="00A95FEA"/>
    <w:rsid w:val="00A9604E"/>
    <w:rsid w:val="00AA2342"/>
    <w:rsid w:val="00AA3306"/>
    <w:rsid w:val="00AA5071"/>
    <w:rsid w:val="00AA6536"/>
    <w:rsid w:val="00AB7743"/>
    <w:rsid w:val="00AC3655"/>
    <w:rsid w:val="00AD12D0"/>
    <w:rsid w:val="00AD2CB7"/>
    <w:rsid w:val="00AD48A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62CC"/>
    <w:rsid w:val="00BC752D"/>
    <w:rsid w:val="00BD33B9"/>
    <w:rsid w:val="00BD3FBF"/>
    <w:rsid w:val="00BE04BE"/>
    <w:rsid w:val="00BE0710"/>
    <w:rsid w:val="00BE1E96"/>
    <w:rsid w:val="00BE1F17"/>
    <w:rsid w:val="00BF4A9E"/>
    <w:rsid w:val="00BF7DC8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07EB"/>
    <w:rsid w:val="00CD3EBF"/>
    <w:rsid w:val="00CD55CB"/>
    <w:rsid w:val="00CD5D5D"/>
    <w:rsid w:val="00CE5CB6"/>
    <w:rsid w:val="00CE7668"/>
    <w:rsid w:val="00CF32DC"/>
    <w:rsid w:val="00CF621A"/>
    <w:rsid w:val="00CF69B5"/>
    <w:rsid w:val="00D02439"/>
    <w:rsid w:val="00D0330F"/>
    <w:rsid w:val="00D035A8"/>
    <w:rsid w:val="00D065CC"/>
    <w:rsid w:val="00D075F7"/>
    <w:rsid w:val="00D10F5B"/>
    <w:rsid w:val="00D13757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DC1"/>
    <w:rsid w:val="00D5335C"/>
    <w:rsid w:val="00D56E9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724"/>
    <w:rsid w:val="00E03BBB"/>
    <w:rsid w:val="00E06C9C"/>
    <w:rsid w:val="00E20A9D"/>
    <w:rsid w:val="00E27615"/>
    <w:rsid w:val="00E27626"/>
    <w:rsid w:val="00E302DF"/>
    <w:rsid w:val="00E33780"/>
    <w:rsid w:val="00E44C46"/>
    <w:rsid w:val="00E511AC"/>
    <w:rsid w:val="00E609FF"/>
    <w:rsid w:val="00E62210"/>
    <w:rsid w:val="00E630F3"/>
    <w:rsid w:val="00E6619E"/>
    <w:rsid w:val="00E67044"/>
    <w:rsid w:val="00E671C9"/>
    <w:rsid w:val="00E7138D"/>
    <w:rsid w:val="00E7386B"/>
    <w:rsid w:val="00E80C1A"/>
    <w:rsid w:val="00E84F34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1D2D"/>
    <w:rsid w:val="00ED359A"/>
    <w:rsid w:val="00EE004F"/>
    <w:rsid w:val="00EE17E5"/>
    <w:rsid w:val="00EE1FB4"/>
    <w:rsid w:val="00EE544B"/>
    <w:rsid w:val="00EE6A22"/>
    <w:rsid w:val="00EF33D3"/>
    <w:rsid w:val="00EF518E"/>
    <w:rsid w:val="00EF59F7"/>
    <w:rsid w:val="00EF5C73"/>
    <w:rsid w:val="00EF63B3"/>
    <w:rsid w:val="00F01254"/>
    <w:rsid w:val="00F07CF3"/>
    <w:rsid w:val="00F10FBD"/>
    <w:rsid w:val="00F15646"/>
    <w:rsid w:val="00F15991"/>
    <w:rsid w:val="00F175D1"/>
    <w:rsid w:val="00F208D7"/>
    <w:rsid w:val="00F20A41"/>
    <w:rsid w:val="00F22533"/>
    <w:rsid w:val="00F24695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04A2"/>
    <w:rsid w:val="00FC1A37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0927AB5-E136-462E-96C9-DA84E92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5720-2C91-4535-87BE-BA856AF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Maděrková Romana</cp:lastModifiedBy>
  <cp:revision>2</cp:revision>
  <cp:lastPrinted>2020-08-26T08:39:00Z</cp:lastPrinted>
  <dcterms:created xsi:type="dcterms:W3CDTF">2020-08-26T13:13:00Z</dcterms:created>
  <dcterms:modified xsi:type="dcterms:W3CDTF">2020-08-26T13:13:00Z</dcterms:modified>
</cp:coreProperties>
</file>