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D61DF1" w:rsidRDefault="00D61DF1" w:rsidP="00D61DF1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Jiří Rozehnal</w:t>
      </w: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D61DF1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Mgr. Miroslav Petrásek,</w:t>
      </w: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dotací</w:t>
      </w: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 veřejných zakázek</w:t>
      </w: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 Brückner,</w:t>
      </w: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D61DF1" w:rsidRDefault="00D61DF1" w:rsidP="00D61DF1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61DF1" w:rsidRPr="00354CAE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D61DF1" w:rsidRPr="00354CAE" w:rsidRDefault="00D61DF1" w:rsidP="00D61D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61DF1" w:rsidRPr="00354CAE" w:rsidRDefault="00D61DF1" w:rsidP="00D61DF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61DF1" w:rsidP="00D61DF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15. 6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234B9" w:rsidRDefault="00594B25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7234B9">
        <w:rPr>
          <w:rFonts w:ascii="Arial" w:hAnsi="Arial" w:cs="Arial"/>
          <w:b/>
        </w:rPr>
        <w:t>Schválení podání žádosti o dotaci na akci „</w:t>
      </w:r>
      <w:r w:rsidR="007F6FC8" w:rsidRPr="007234B9">
        <w:rPr>
          <w:rFonts w:ascii="Arial" w:hAnsi="Arial" w:cs="Arial"/>
          <w:b/>
        </w:rPr>
        <w:t xml:space="preserve">Rekonstrukce fotbalového stadionu </w:t>
      </w:r>
      <w:r w:rsidR="007234B9" w:rsidRPr="007234B9">
        <w:rPr>
          <w:rFonts w:ascii="Arial" w:hAnsi="Arial" w:cs="Arial"/>
          <w:b/>
        </w:rPr>
        <w:t>Za Místním nádražím</w:t>
      </w:r>
      <w:r w:rsidRPr="007234B9">
        <w:rPr>
          <w:rFonts w:ascii="Arial" w:hAnsi="Arial" w:cs="Arial"/>
          <w:b/>
        </w:rPr>
        <w:t>“</w:t>
      </w:r>
    </w:p>
    <w:p w:rsidR="00710CAD" w:rsidRPr="007234B9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7234B9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7234B9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7234B9">
        <w:rPr>
          <w:rFonts w:ascii="Arial" w:hAnsi="Arial" w:cs="Arial"/>
          <w:szCs w:val="20"/>
        </w:rPr>
        <w:t>Návrh usnesení:</w:t>
      </w:r>
    </w:p>
    <w:p w:rsidR="00D1621E" w:rsidRPr="007234B9" w:rsidRDefault="00D1621E" w:rsidP="00B8533E">
      <w:pPr>
        <w:rPr>
          <w:rFonts w:ascii="Arial" w:hAnsi="Arial" w:cs="Arial"/>
          <w:b/>
        </w:rPr>
      </w:pPr>
    </w:p>
    <w:p w:rsidR="00C52E3C" w:rsidRPr="007234B9" w:rsidRDefault="00D61DF1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7234B9">
        <w:rPr>
          <w:rFonts w:ascii="Arial" w:hAnsi="Arial" w:cs="Arial"/>
          <w:b/>
        </w:rPr>
        <w:t xml:space="preserve"> města Prostějova</w:t>
      </w:r>
    </w:p>
    <w:p w:rsidR="000E4C34" w:rsidRPr="007234B9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F1A55" w:rsidRPr="007234B9" w:rsidRDefault="00594B25" w:rsidP="0092228A">
      <w:pPr>
        <w:jc w:val="both"/>
        <w:rPr>
          <w:rFonts w:ascii="Arial" w:hAnsi="Arial" w:cs="Arial"/>
          <w:b/>
        </w:rPr>
      </w:pPr>
      <w:r w:rsidRPr="007234B9">
        <w:rPr>
          <w:rFonts w:ascii="Arial" w:hAnsi="Arial" w:cs="Arial"/>
          <w:b/>
        </w:rPr>
        <w:t>s</w:t>
      </w:r>
      <w:r w:rsidR="00D61DF1">
        <w:rPr>
          <w:rFonts w:ascii="Arial" w:hAnsi="Arial" w:cs="Arial"/>
          <w:b/>
        </w:rPr>
        <w:t> </w:t>
      </w:r>
      <w:r w:rsidRPr="007234B9">
        <w:rPr>
          <w:rFonts w:ascii="Arial" w:hAnsi="Arial" w:cs="Arial"/>
          <w:b/>
        </w:rPr>
        <w:t>c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>h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>v</w:t>
      </w:r>
      <w:r w:rsidR="00D61DF1">
        <w:rPr>
          <w:rFonts w:ascii="Arial" w:hAnsi="Arial" w:cs="Arial"/>
          <w:b/>
        </w:rPr>
        <w:t> </w:t>
      </w:r>
      <w:r w:rsidRPr="007234B9">
        <w:rPr>
          <w:rFonts w:ascii="Arial" w:hAnsi="Arial" w:cs="Arial"/>
          <w:b/>
        </w:rPr>
        <w:t>a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>l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>u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>j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>e</w:t>
      </w:r>
      <w:r w:rsidR="00D61DF1">
        <w:rPr>
          <w:rFonts w:ascii="Arial" w:hAnsi="Arial" w:cs="Arial"/>
          <w:b/>
        </w:rPr>
        <w:t xml:space="preserve"> </w:t>
      </w:r>
      <w:r w:rsidRPr="007234B9">
        <w:rPr>
          <w:rFonts w:ascii="Arial" w:hAnsi="Arial" w:cs="Arial"/>
          <w:b/>
        </w:rPr>
        <w:t xml:space="preserve"> </w:t>
      </w:r>
      <w:r w:rsidR="003F1A55" w:rsidRPr="007234B9">
        <w:rPr>
          <w:rFonts w:ascii="Arial" w:hAnsi="Arial" w:cs="Arial"/>
          <w:b/>
        </w:rPr>
        <w:t xml:space="preserve"> </w:t>
      </w:r>
    </w:p>
    <w:p w:rsidR="005D477B" w:rsidRDefault="005D477B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7F6FC8" w:rsidRPr="005D477B" w:rsidRDefault="007F6FC8" w:rsidP="007F6FC8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5D477B">
        <w:rPr>
          <w:rFonts w:ascii="Arial" w:hAnsi="Arial" w:cs="Arial"/>
          <w:b/>
        </w:rPr>
        <w:t xml:space="preserve">podání žádosti o dotaci na akci „Rekonstrukce fotbalového stadionu </w:t>
      </w:r>
      <w:r w:rsidR="00C65D25" w:rsidRPr="005D477B">
        <w:rPr>
          <w:rFonts w:ascii="Arial" w:hAnsi="Arial" w:cs="Arial"/>
          <w:b/>
        </w:rPr>
        <w:t>Za Místním nádražím</w:t>
      </w:r>
      <w:r w:rsidRPr="005D477B">
        <w:rPr>
          <w:rFonts w:ascii="Arial" w:hAnsi="Arial" w:cs="Arial"/>
          <w:b/>
        </w:rPr>
        <w:t>“ z dotačního programu Národní sportovní agentury</w:t>
      </w:r>
      <w:r w:rsidR="00DE62E6" w:rsidRPr="005D477B">
        <w:rPr>
          <w:rFonts w:ascii="Arial" w:hAnsi="Arial" w:cs="Arial"/>
          <w:b/>
        </w:rPr>
        <w:t>.</w:t>
      </w:r>
    </w:p>
    <w:p w:rsidR="007F6FC8" w:rsidRDefault="007F6FC8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7234B9" w:rsidRDefault="007234B9" w:rsidP="007F6FC8">
      <w:pPr>
        <w:tabs>
          <w:tab w:val="left" w:pos="426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7234B9" w:rsidRDefault="007234B9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7234B9" w:rsidRDefault="007234B9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7234B9" w:rsidRDefault="007234B9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7"/>
        <w:gridCol w:w="1748"/>
        <w:gridCol w:w="1766"/>
      </w:tblGrid>
      <w:tr w:rsidR="007F6FC8" w:rsidRPr="00354CAE" w:rsidTr="00CA6872">
        <w:tc>
          <w:tcPr>
            <w:tcW w:w="9430" w:type="dxa"/>
            <w:gridSpan w:val="4"/>
          </w:tcPr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F6FC8" w:rsidRPr="00354CAE" w:rsidTr="00CA6872">
        <w:trPr>
          <w:trHeight w:val="727"/>
        </w:trPr>
        <w:tc>
          <w:tcPr>
            <w:tcW w:w="2234" w:type="dxa"/>
            <w:vAlign w:val="center"/>
          </w:tcPr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náměstek primátora  </w:t>
            </w:r>
          </w:p>
        </w:tc>
        <w:tc>
          <w:tcPr>
            <w:tcW w:w="1799" w:type="dxa"/>
            <w:vAlign w:val="bottom"/>
          </w:tcPr>
          <w:p w:rsidR="007F6FC8" w:rsidRPr="00E6619E" w:rsidRDefault="005D477B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Jura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7F6FC8" w:rsidRPr="00E6619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Rozehnal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  <w:tr w:rsidR="007F6FC8" w:rsidRPr="00354CAE" w:rsidTr="00CA6872">
        <w:tc>
          <w:tcPr>
            <w:tcW w:w="2234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Brückner, vedoucí Odboru rozvoje a investic</w:t>
            </w:r>
          </w:p>
        </w:tc>
        <w:tc>
          <w:tcPr>
            <w:tcW w:w="1799" w:type="dxa"/>
            <w:vAlign w:val="bottom"/>
          </w:tcPr>
          <w:p w:rsidR="007F6FC8" w:rsidRPr="00284CB3" w:rsidRDefault="005D477B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Miroslav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Petrásek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284CB3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 v. r.</w:t>
            </w:r>
          </w:p>
        </w:tc>
      </w:tr>
      <w:tr w:rsidR="007F6FC8" w:rsidRPr="00354CAE" w:rsidTr="00CA6872">
        <w:tc>
          <w:tcPr>
            <w:tcW w:w="2234" w:type="dxa"/>
            <w:vAlign w:val="center"/>
          </w:tcPr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</w:p>
        </w:tc>
        <w:tc>
          <w:tcPr>
            <w:tcW w:w="1799" w:type="dxa"/>
            <w:vAlign w:val="bottom"/>
          </w:tcPr>
          <w:p w:rsidR="007F6FC8" w:rsidRPr="00284CB3" w:rsidRDefault="005D477B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Pr="00284CB3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Roman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Švarc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</w:tbl>
    <w:p w:rsidR="00B13306" w:rsidRDefault="00B1330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13306" w:rsidRDefault="00B133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866394" w:rsidRDefault="00866394" w:rsidP="00866394">
      <w:pPr>
        <w:ind w:right="567"/>
        <w:jc w:val="both"/>
        <w:rPr>
          <w:rFonts w:ascii="Arial" w:hAnsi="Arial" w:cs="Arial"/>
        </w:rPr>
      </w:pPr>
    </w:p>
    <w:p w:rsidR="00866394" w:rsidRDefault="00866394" w:rsidP="007A5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Národní sportovní agentura (dále jen „NSA“) byla zřízena jako </w:t>
      </w:r>
      <w:r w:rsidRPr="00F34113">
        <w:rPr>
          <w:rFonts w:ascii="Arial" w:hAnsi="Arial" w:cs="Arial"/>
        </w:rPr>
        <w:t>ústřední orgán státní správy</w:t>
      </w:r>
      <w:r>
        <w:rPr>
          <w:rFonts w:ascii="Arial" w:hAnsi="Arial" w:cs="Arial"/>
        </w:rPr>
        <w:t xml:space="preserve"> pro zajišťování podpory sportu, čímž přejímá v této oblasti dosavadní úlohu Ministerstva školství, mládeže a tělovýchovy.</w:t>
      </w:r>
    </w:p>
    <w:p w:rsidR="00866394" w:rsidRDefault="00866394" w:rsidP="007A51ED">
      <w:pPr>
        <w:jc w:val="both"/>
        <w:rPr>
          <w:rFonts w:ascii="Arial" w:hAnsi="Arial" w:cs="Arial"/>
        </w:rPr>
      </w:pPr>
    </w:p>
    <w:p w:rsidR="00866394" w:rsidRDefault="00866394" w:rsidP="007A5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dotačního programu </w:t>
      </w:r>
      <w:r w:rsidRPr="00F34113">
        <w:rPr>
          <w:rFonts w:ascii="Arial" w:hAnsi="Arial" w:cs="Arial"/>
        </w:rPr>
        <w:t>Regionální sportovní infrastruktura 2020–2024</w:t>
      </w:r>
      <w:r>
        <w:rPr>
          <w:rFonts w:ascii="Arial" w:hAnsi="Arial" w:cs="Arial"/>
        </w:rPr>
        <w:t xml:space="preserve"> byly vyhlášeny 7. 12. 2020 první výzvy v oblasti investic do 10 mil. Kč a nad 10 mil. Kč s předpokládaným termínem ukončení příjmu žádostí do 30. 6. 2022.</w:t>
      </w:r>
    </w:p>
    <w:p w:rsidR="00866394" w:rsidRDefault="00866394" w:rsidP="007A5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Prostějov připravuje projekty, které by mohly být do výzev předkládány. V květnu 2021 však s ohledem na převis žádostí o dotace bylo vyhlášeno ukončení těchto výzev – investice do 10 mil. Kč ukončení výzvy k 4. 6. 2021 (ke dni </w:t>
      </w:r>
      <w:r w:rsidRPr="00F34113">
        <w:rPr>
          <w:rFonts w:ascii="Arial" w:hAnsi="Arial" w:cs="Arial"/>
        </w:rPr>
        <w:t>29.</w:t>
      </w:r>
      <w:r>
        <w:rPr>
          <w:rFonts w:ascii="Arial" w:hAnsi="Arial" w:cs="Arial"/>
        </w:rPr>
        <w:t xml:space="preserve"> </w:t>
      </w:r>
      <w:r w:rsidRPr="00F3411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2021 byly podány</w:t>
      </w:r>
      <w:r w:rsidRPr="00F34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</w:t>
      </w:r>
      <w:r w:rsidRPr="00F34113">
        <w:rPr>
          <w:rFonts w:ascii="Arial" w:hAnsi="Arial" w:cs="Arial"/>
        </w:rPr>
        <w:t xml:space="preserve"> s celkovou požadovanou dotací v</w:t>
      </w:r>
      <w:r>
        <w:rPr>
          <w:rFonts w:ascii="Arial" w:hAnsi="Arial" w:cs="Arial"/>
        </w:rPr>
        <w:t> </w:t>
      </w:r>
      <w:r w:rsidRPr="00F34113">
        <w:rPr>
          <w:rFonts w:ascii="Arial" w:hAnsi="Arial" w:cs="Arial"/>
        </w:rPr>
        <w:t xml:space="preserve">objemu 856 </w:t>
      </w:r>
      <w:r>
        <w:rPr>
          <w:rFonts w:ascii="Arial" w:hAnsi="Arial" w:cs="Arial"/>
        </w:rPr>
        <w:t>mil.</w:t>
      </w:r>
      <w:r w:rsidRPr="00F3411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oproti alokaci 600 mil. Kč) a investice nad 10 mil. Kč ukončení výzvy k 28. 5. 2021 (k</w:t>
      </w:r>
      <w:r w:rsidRPr="00E626E1">
        <w:rPr>
          <w:rFonts w:ascii="Arial" w:hAnsi="Arial" w:cs="Arial"/>
        </w:rPr>
        <w:t>e dni 23.</w:t>
      </w:r>
      <w:r>
        <w:rPr>
          <w:rFonts w:ascii="Arial" w:hAnsi="Arial" w:cs="Arial"/>
        </w:rPr>
        <w:t xml:space="preserve"> </w:t>
      </w:r>
      <w:r w:rsidRPr="00E626E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E626E1">
        <w:rPr>
          <w:rFonts w:ascii="Arial" w:hAnsi="Arial" w:cs="Arial"/>
        </w:rPr>
        <w:t>2021 byl</w:t>
      </w:r>
      <w:r>
        <w:rPr>
          <w:rFonts w:ascii="Arial" w:hAnsi="Arial" w:cs="Arial"/>
        </w:rPr>
        <w:t>y</w:t>
      </w:r>
      <w:r w:rsidRPr="00E626E1">
        <w:rPr>
          <w:rFonts w:ascii="Arial" w:hAnsi="Arial" w:cs="Arial"/>
        </w:rPr>
        <w:t xml:space="preserve"> podán</w:t>
      </w:r>
      <w:r>
        <w:rPr>
          <w:rFonts w:ascii="Arial" w:hAnsi="Arial" w:cs="Arial"/>
        </w:rPr>
        <w:t>y</w:t>
      </w:r>
      <w:r w:rsidRPr="00E62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</w:t>
      </w:r>
      <w:r w:rsidRPr="00E626E1">
        <w:rPr>
          <w:rFonts w:ascii="Arial" w:hAnsi="Arial" w:cs="Arial"/>
        </w:rPr>
        <w:t xml:space="preserve"> s celkovou požadovanou dotací</w:t>
      </w:r>
      <w:r>
        <w:rPr>
          <w:rFonts w:ascii="Arial" w:hAnsi="Arial" w:cs="Arial"/>
        </w:rPr>
        <w:t xml:space="preserve"> v objemu 4,3 mld. Kč oproti alokaci 600 mil. Kč).</w:t>
      </w:r>
    </w:p>
    <w:p w:rsidR="00866394" w:rsidRDefault="00866394" w:rsidP="007A51ED">
      <w:pPr>
        <w:jc w:val="both"/>
        <w:rPr>
          <w:rFonts w:ascii="Arial" w:hAnsi="Arial" w:cs="Arial"/>
        </w:rPr>
      </w:pPr>
    </w:p>
    <w:p w:rsidR="007234B9" w:rsidRDefault="007234B9" w:rsidP="007A51ED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>Předpokládá se, že by měly být výzvy pro příjem žádostí o dotace otevřeny opět v srpnu až září tohoto roku.</w:t>
      </w:r>
      <w:r>
        <w:rPr>
          <w:rFonts w:ascii="Arial" w:hAnsi="Arial" w:cs="Arial"/>
        </w:rPr>
        <w:t xml:space="preserve"> Z důvodu, že lze očekávat opětovný velký zájem žadatelů, je potřeba již nyní řešit přípravu projektových žádostí s předpokládaným předložením k uvedenému termínu.</w:t>
      </w:r>
    </w:p>
    <w:p w:rsidR="007234B9" w:rsidRDefault="007234B9" w:rsidP="007A51ED">
      <w:pPr>
        <w:jc w:val="both"/>
        <w:rPr>
          <w:rFonts w:ascii="Arial" w:hAnsi="Arial" w:cs="Arial"/>
        </w:rPr>
      </w:pPr>
    </w:p>
    <w:p w:rsidR="007234B9" w:rsidRDefault="007234B9" w:rsidP="007A51ED">
      <w:pPr>
        <w:jc w:val="both"/>
        <w:rPr>
          <w:b/>
        </w:rPr>
      </w:pPr>
      <w:r w:rsidRPr="00B07ECC">
        <w:rPr>
          <w:rFonts w:ascii="Arial" w:hAnsi="Arial" w:cs="Arial"/>
          <w:b/>
        </w:rPr>
        <w:t>Statutární město Prostějov připravuje projekt na rekonstrukci fotbalového stadionu Za Místním nádražím.</w:t>
      </w:r>
    </w:p>
    <w:p w:rsidR="007234B9" w:rsidRDefault="007234B9" w:rsidP="007A51ED">
      <w:pPr>
        <w:jc w:val="both"/>
        <w:rPr>
          <w:b/>
        </w:rPr>
      </w:pPr>
    </w:p>
    <w:p w:rsidR="007234B9" w:rsidRPr="00C53128" w:rsidRDefault="007234B9" w:rsidP="007A51ED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 xml:space="preserve">V rámci </w:t>
      </w:r>
      <w:r>
        <w:rPr>
          <w:rFonts w:ascii="Arial" w:hAnsi="Arial" w:cs="Arial"/>
          <w:b/>
        </w:rPr>
        <w:t>zamýšleného</w:t>
      </w:r>
      <w:r w:rsidRPr="00B07ECC">
        <w:rPr>
          <w:rFonts w:ascii="Arial" w:hAnsi="Arial" w:cs="Arial"/>
          <w:b/>
        </w:rPr>
        <w:t xml:space="preserve"> urychlení realizace je </w:t>
      </w:r>
      <w:r>
        <w:rPr>
          <w:rFonts w:ascii="Arial" w:hAnsi="Arial" w:cs="Arial"/>
          <w:b/>
        </w:rPr>
        <w:t>předpoklad</w:t>
      </w:r>
      <w:r w:rsidRPr="00B07E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zajistit</w:t>
      </w:r>
      <w:r w:rsidRPr="00B07ECC">
        <w:rPr>
          <w:rFonts w:ascii="Arial" w:hAnsi="Arial" w:cs="Arial"/>
          <w:b/>
        </w:rPr>
        <w:t xml:space="preserve"> přípravu a realizaci projektu veřejnou zakázkou metodou „Design and </w:t>
      </w:r>
      <w:proofErr w:type="spellStart"/>
      <w:r w:rsidRPr="00B07ECC">
        <w:rPr>
          <w:rFonts w:ascii="Arial" w:hAnsi="Arial" w:cs="Arial"/>
          <w:b/>
        </w:rPr>
        <w:t>build</w:t>
      </w:r>
      <w:proofErr w:type="spellEnd"/>
      <w:r w:rsidRPr="00B07ECC">
        <w:rPr>
          <w:rFonts w:ascii="Arial" w:hAnsi="Arial" w:cs="Arial"/>
          <w:b/>
        </w:rPr>
        <w:t>“</w:t>
      </w:r>
      <w:r w:rsidRPr="00C53128">
        <w:rPr>
          <w:rFonts w:ascii="Arial" w:hAnsi="Arial" w:cs="Arial"/>
        </w:rPr>
        <w:t xml:space="preserve">, kdy objednatel </w:t>
      </w:r>
      <w:r>
        <w:rPr>
          <w:rFonts w:ascii="Arial" w:hAnsi="Arial" w:cs="Arial"/>
        </w:rPr>
        <w:t>–</w:t>
      </w:r>
      <w:r w:rsidRPr="00C53128">
        <w:rPr>
          <w:rFonts w:ascii="Arial" w:hAnsi="Arial" w:cs="Arial"/>
        </w:rPr>
        <w:t xml:space="preserve"> investor v zadání definuje pouze účel, standardy a výkonová kritéria, tedy vlastnosti, které by stavba měla splňovat.</w:t>
      </w:r>
    </w:p>
    <w:p w:rsidR="007234B9" w:rsidRPr="00C53128" w:rsidRDefault="007234B9" w:rsidP="007A51ED">
      <w:pPr>
        <w:jc w:val="both"/>
        <w:rPr>
          <w:rFonts w:ascii="Arial" w:hAnsi="Arial" w:cs="Arial"/>
        </w:rPr>
      </w:pPr>
      <w:r w:rsidRPr="00C53128">
        <w:rPr>
          <w:rFonts w:ascii="Arial" w:hAnsi="Arial" w:cs="Arial"/>
        </w:rPr>
        <w:t>Za dodržení těchto požadavků ovšem následně odpovídá realizační firma, tzn., že zhotovitel stavby (vybrán v rámci výběrového řízení)</w:t>
      </w:r>
      <w:r>
        <w:rPr>
          <w:rFonts w:ascii="Arial" w:hAnsi="Arial" w:cs="Arial"/>
        </w:rPr>
        <w:t xml:space="preserve"> </w:t>
      </w:r>
      <w:r w:rsidRPr="00C53128">
        <w:rPr>
          <w:rFonts w:ascii="Arial" w:hAnsi="Arial" w:cs="Arial"/>
        </w:rPr>
        <w:t>následně nese odpovědnost za zpracování projektové dokumentace</w:t>
      </w:r>
      <w:r>
        <w:rPr>
          <w:rFonts w:ascii="Arial" w:hAnsi="Arial" w:cs="Arial"/>
        </w:rPr>
        <w:t>, stavební povolení</w:t>
      </w:r>
      <w:r w:rsidRPr="00C53128">
        <w:rPr>
          <w:rFonts w:ascii="Arial" w:hAnsi="Arial" w:cs="Arial"/>
        </w:rPr>
        <w:t xml:space="preserve"> a celkovou kvalitu provedení díla.</w:t>
      </w:r>
    </w:p>
    <w:p w:rsidR="007234B9" w:rsidRDefault="007234B9" w:rsidP="007A51ED">
      <w:pPr>
        <w:jc w:val="both"/>
        <w:rPr>
          <w:rFonts w:ascii="Arial" w:hAnsi="Arial" w:cs="Arial"/>
        </w:rPr>
      </w:pPr>
      <w:r w:rsidRPr="00C53128">
        <w:rPr>
          <w:rFonts w:ascii="Arial" w:hAnsi="Arial" w:cs="Arial"/>
        </w:rPr>
        <w:t xml:space="preserve">Objednatel tak </w:t>
      </w:r>
      <w:r>
        <w:rPr>
          <w:rFonts w:ascii="Arial" w:hAnsi="Arial" w:cs="Arial"/>
        </w:rPr>
        <w:t xml:space="preserve">má dle obecných zásad metody „Design and </w:t>
      </w:r>
      <w:proofErr w:type="spellStart"/>
      <w:r>
        <w:rPr>
          <w:rFonts w:ascii="Arial" w:hAnsi="Arial" w:cs="Arial"/>
        </w:rPr>
        <w:t>build</w:t>
      </w:r>
      <w:proofErr w:type="spellEnd"/>
      <w:r>
        <w:rPr>
          <w:rFonts w:ascii="Arial" w:hAnsi="Arial" w:cs="Arial"/>
        </w:rPr>
        <w:t xml:space="preserve">“ </w:t>
      </w:r>
      <w:r w:rsidRPr="00C53128">
        <w:rPr>
          <w:rFonts w:ascii="Arial" w:hAnsi="Arial" w:cs="Arial"/>
        </w:rPr>
        <w:t xml:space="preserve">vyšší </w:t>
      </w:r>
      <w:r>
        <w:rPr>
          <w:rFonts w:ascii="Arial" w:hAnsi="Arial" w:cs="Arial"/>
        </w:rPr>
        <w:t>pravděpodobnost</w:t>
      </w:r>
      <w:r w:rsidRPr="00C53128">
        <w:rPr>
          <w:rFonts w:ascii="Arial" w:hAnsi="Arial" w:cs="Arial"/>
        </w:rPr>
        <w:t>, že na</w:t>
      </w:r>
      <w:r>
        <w:rPr>
          <w:rFonts w:ascii="Arial" w:hAnsi="Arial" w:cs="Arial"/>
        </w:rPr>
        <w:t>bídková cena bude zachována a</w:t>
      </w:r>
      <w:r w:rsidRPr="00C53128">
        <w:rPr>
          <w:rFonts w:ascii="Arial" w:hAnsi="Arial" w:cs="Arial"/>
        </w:rPr>
        <w:t xml:space="preserve"> zároveň</w:t>
      </w:r>
      <w:r>
        <w:rPr>
          <w:rFonts w:ascii="Arial" w:hAnsi="Arial" w:cs="Arial"/>
        </w:rPr>
        <w:t>,</w:t>
      </w:r>
      <w:r w:rsidRPr="00C53128">
        <w:rPr>
          <w:rFonts w:ascii="Arial" w:hAnsi="Arial" w:cs="Arial"/>
        </w:rPr>
        <w:t xml:space="preserve"> že projekt bude dokončen ve smluveném termínu.</w:t>
      </w:r>
    </w:p>
    <w:p w:rsidR="007234B9" w:rsidRDefault="007234B9" w:rsidP="007A51ED">
      <w:pPr>
        <w:jc w:val="both"/>
        <w:rPr>
          <w:rFonts w:ascii="Arial" w:hAnsi="Arial" w:cs="Arial"/>
        </w:rPr>
      </w:pPr>
    </w:p>
    <w:p w:rsidR="007234B9" w:rsidRPr="00C53128" w:rsidRDefault="007234B9" w:rsidP="007A51ED">
      <w:pPr>
        <w:jc w:val="both"/>
        <w:rPr>
          <w:rFonts w:ascii="Arial" w:hAnsi="Arial" w:cs="Arial"/>
        </w:rPr>
      </w:pPr>
      <w:r w:rsidRPr="00C53128">
        <w:rPr>
          <w:rFonts w:ascii="Arial" w:hAnsi="Arial" w:cs="Arial"/>
        </w:rPr>
        <w:t>Rekonstrukce bude rozdělena do dílčích etap.</w:t>
      </w:r>
    </w:p>
    <w:p w:rsidR="007234B9" w:rsidRPr="00C53128" w:rsidRDefault="007234B9" w:rsidP="007A51ED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 xml:space="preserve">V první etapě proběhne rekonstrukce stávající tribuny </w:t>
      </w:r>
      <w:r w:rsidRPr="00C53128">
        <w:rPr>
          <w:rFonts w:ascii="Arial" w:hAnsi="Arial" w:cs="Arial"/>
        </w:rPr>
        <w:t>s cílem zvýšit kapacitu této hlavní tribuny na 1900 fanoušků, která bude odpovídat požadavkům pro 2. ligu (vč. zázemí). Odhad nákladů cca 77 mil. Kč bez DPH</w:t>
      </w:r>
      <w:r>
        <w:rPr>
          <w:rFonts w:ascii="Arial" w:hAnsi="Arial" w:cs="Arial"/>
        </w:rPr>
        <w:t>, resp. 93,2 mil. Kč vč. DPH</w:t>
      </w:r>
      <w:r w:rsidRPr="00C53128">
        <w:rPr>
          <w:rFonts w:ascii="Arial" w:hAnsi="Arial" w:cs="Arial"/>
        </w:rPr>
        <w:t>.</w:t>
      </w:r>
    </w:p>
    <w:p w:rsidR="007234B9" w:rsidRPr="00C53128" w:rsidRDefault="007234B9" w:rsidP="007A51ED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>Souběžně bude řešeno komunikační napojení nové tribuny vč. parkovacích míst</w:t>
      </w:r>
      <w:r w:rsidRPr="00C5312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C53128">
        <w:rPr>
          <w:rFonts w:ascii="Arial" w:hAnsi="Arial" w:cs="Arial"/>
        </w:rPr>
        <w:t>předpoklád</w:t>
      </w:r>
      <w:r>
        <w:rPr>
          <w:rFonts w:ascii="Arial" w:hAnsi="Arial" w:cs="Arial"/>
        </w:rPr>
        <w:t>ané výši cca 10 mil. Kč bez DPH, resp. 12,1 mil. Kč vč. DPH</w:t>
      </w:r>
      <w:r w:rsidRPr="00C53128">
        <w:rPr>
          <w:rFonts w:ascii="Arial" w:hAnsi="Arial" w:cs="Arial"/>
        </w:rPr>
        <w:t>.</w:t>
      </w:r>
    </w:p>
    <w:p w:rsidR="007234B9" w:rsidRPr="00C53128" w:rsidRDefault="007234B9" w:rsidP="007A51ED">
      <w:pPr>
        <w:jc w:val="both"/>
        <w:rPr>
          <w:rFonts w:ascii="Arial" w:hAnsi="Arial" w:cs="Arial"/>
        </w:rPr>
      </w:pPr>
    </w:p>
    <w:p w:rsidR="007234B9" w:rsidRPr="00C53128" w:rsidRDefault="007234B9" w:rsidP="007A51ED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>V další etapě bude řešeno osvětlení hřiště a rekonstrukce trávníku vč. vyhřívání</w:t>
      </w:r>
      <w:r w:rsidRPr="00C53128">
        <w:rPr>
          <w:rFonts w:ascii="Arial" w:hAnsi="Arial" w:cs="Arial"/>
        </w:rPr>
        <w:t>, které je odhadováno na cca 30 mil</w:t>
      </w:r>
      <w:r>
        <w:rPr>
          <w:rFonts w:ascii="Arial" w:hAnsi="Arial" w:cs="Arial"/>
        </w:rPr>
        <w:t>.</w:t>
      </w:r>
      <w:r w:rsidRPr="00C53128">
        <w:rPr>
          <w:rFonts w:ascii="Arial" w:hAnsi="Arial" w:cs="Arial"/>
        </w:rPr>
        <w:t xml:space="preserve"> Kč bez DPH</w:t>
      </w:r>
      <w:r>
        <w:rPr>
          <w:rFonts w:ascii="Arial" w:hAnsi="Arial" w:cs="Arial"/>
        </w:rPr>
        <w:t>, resp. 36,3 mil. Kč vč. DPH</w:t>
      </w:r>
      <w:r w:rsidRPr="00C53128">
        <w:rPr>
          <w:rFonts w:ascii="Arial" w:hAnsi="Arial" w:cs="Arial"/>
        </w:rPr>
        <w:t>.</w:t>
      </w:r>
    </w:p>
    <w:p w:rsidR="00D42908" w:rsidRDefault="00D42908" w:rsidP="007A51ED">
      <w:pPr>
        <w:jc w:val="both"/>
        <w:rPr>
          <w:rFonts w:ascii="Arial" w:hAnsi="Arial" w:cs="Arial"/>
          <w:b/>
        </w:rPr>
      </w:pPr>
    </w:p>
    <w:p w:rsidR="007234B9" w:rsidRPr="00B07ECC" w:rsidRDefault="007234B9" w:rsidP="007A51ED">
      <w:pPr>
        <w:widowControl w:val="0"/>
        <w:jc w:val="both"/>
        <w:rPr>
          <w:rFonts w:ascii="Arial" w:hAnsi="Arial" w:cs="Arial"/>
          <w:b/>
        </w:rPr>
      </w:pPr>
      <w:r w:rsidRPr="00B07ECC">
        <w:rPr>
          <w:rFonts w:ascii="Arial" w:hAnsi="Arial" w:cs="Arial"/>
          <w:b/>
        </w:rPr>
        <w:t>Předpokládané zahájení stavebních prací je podzim 2022 a dokončení je podzim 2024.</w:t>
      </w:r>
    </w:p>
    <w:p w:rsidR="007A51ED" w:rsidRDefault="007A51ED" w:rsidP="007A51ED">
      <w:pPr>
        <w:widowControl w:val="0"/>
        <w:jc w:val="both"/>
        <w:rPr>
          <w:rFonts w:ascii="Arial" w:hAnsi="Arial" w:cs="Arial"/>
        </w:rPr>
      </w:pPr>
    </w:p>
    <w:p w:rsidR="007A51ED" w:rsidRDefault="007A51ED" w:rsidP="007A51ED">
      <w:pPr>
        <w:widowControl w:val="0"/>
        <w:jc w:val="both"/>
        <w:rPr>
          <w:rFonts w:ascii="Arial" w:hAnsi="Arial" w:cs="Arial"/>
        </w:rPr>
      </w:pPr>
    </w:p>
    <w:p w:rsidR="007A51ED" w:rsidRDefault="007A51ED" w:rsidP="007A51ED">
      <w:pPr>
        <w:widowControl w:val="0"/>
        <w:jc w:val="both"/>
        <w:rPr>
          <w:rFonts w:ascii="Arial" w:hAnsi="Arial" w:cs="Arial"/>
        </w:rPr>
      </w:pPr>
    </w:p>
    <w:p w:rsidR="00866394" w:rsidRDefault="00866394" w:rsidP="007A51E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Akce byla schválena do rozpočtu města Prostějova na rok 2021 pod pořadovým číslem 45 „</w:t>
      </w:r>
      <w:r w:rsidRPr="00E61EB3">
        <w:rPr>
          <w:rFonts w:ascii="Arial" w:hAnsi="Arial" w:cs="Arial"/>
        </w:rPr>
        <w:t>Fotbalový stadion 1 SK - PD osvětlení, rekonstrukce tribuny</w:t>
      </w:r>
      <w:r>
        <w:rPr>
          <w:rFonts w:ascii="Arial" w:hAnsi="Arial" w:cs="Arial"/>
        </w:rPr>
        <w:t>“ s vyčleněnými finančními prostředky ve výši 3 mil. Kč.</w:t>
      </w:r>
    </w:p>
    <w:p w:rsidR="00866394" w:rsidRDefault="00866394" w:rsidP="007A51ED">
      <w:pPr>
        <w:jc w:val="both"/>
        <w:rPr>
          <w:rFonts w:ascii="Arial" w:hAnsi="Arial" w:cs="Arial"/>
        </w:rPr>
      </w:pPr>
    </w:p>
    <w:p w:rsidR="007234B9" w:rsidRPr="00B07ECC" w:rsidRDefault="007234B9" w:rsidP="007A51ED">
      <w:pPr>
        <w:jc w:val="both"/>
        <w:rPr>
          <w:rFonts w:ascii="Arial" w:hAnsi="Arial" w:cs="Arial"/>
          <w:b/>
        </w:rPr>
      </w:pPr>
      <w:r w:rsidRPr="00B07ECC">
        <w:rPr>
          <w:rFonts w:ascii="Arial" w:hAnsi="Arial" w:cs="Arial"/>
          <w:b/>
        </w:rPr>
        <w:t>Předpokládaný stavební rozpočet akce v první etapě, která by byla předmětem žádosti o dotaci, je odhadován v souhrnné výši 105,3 mil. Kč vč. DPH, přičemž dotace by mohla činit až 70 % uznatelných výdajů akce (předpoklad vycházející ze stávající výzvy NSA) – tj. dotace by mohla být až ve výši 65,2 mil. Kč v závislosti na stanovení způsobilých výdajů.</w:t>
      </w:r>
    </w:p>
    <w:p w:rsidR="00866394" w:rsidRDefault="00866394" w:rsidP="00866394">
      <w:pPr>
        <w:ind w:right="567"/>
        <w:jc w:val="both"/>
        <w:rPr>
          <w:rFonts w:ascii="Arial" w:hAnsi="Arial" w:cs="Arial"/>
        </w:rPr>
      </w:pPr>
    </w:p>
    <w:p w:rsidR="00944E81" w:rsidRDefault="00866394" w:rsidP="00866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 realizace projektu probíhá průběžným uvolňováním finančních prostředků prostřednictvím žádostí o platbu – dotace je poskytována ex post. Příjemce dotace může v rámci finančního plánu podat max. 2 krát průběžnou žádost o platbu a 1 krát závěrečnou žádost o platbu, přičemž platí, že každá žádost o platbu musí zahrnovat min. 30 % uhrazených celkových způsobilých výdajů akce. Mezi jednotlivými žádostmi o platbu musí uplynout min. lhůta 3 měsíce.</w:t>
      </w:r>
    </w:p>
    <w:p w:rsidR="007A51ED" w:rsidRDefault="007A51ED" w:rsidP="00866394">
      <w:pPr>
        <w:jc w:val="both"/>
        <w:rPr>
          <w:rFonts w:ascii="Arial" w:hAnsi="Arial" w:cs="Arial"/>
        </w:rPr>
      </w:pPr>
    </w:p>
    <w:p w:rsidR="007A51ED" w:rsidRPr="002B7635" w:rsidRDefault="007A51ED" w:rsidP="007A51ED">
      <w:pPr>
        <w:jc w:val="both"/>
        <w:rPr>
          <w:rFonts w:ascii="Arial" w:hAnsi="Arial" w:cs="Arial"/>
          <w:b/>
          <w:bCs/>
          <w:u w:val="single"/>
        </w:rPr>
      </w:pPr>
      <w:r w:rsidRPr="00040197">
        <w:rPr>
          <w:rFonts w:ascii="Arial" w:hAnsi="Arial" w:cs="Arial"/>
          <w:b/>
        </w:rPr>
        <w:t xml:space="preserve">Rada města Prostějova na své schůzi konané dne 1. 6. 2021 doporučila Zastupitelstvu města Prostějova svým usnesením č. </w:t>
      </w:r>
      <w:r w:rsidRPr="007A51ED">
        <w:rPr>
          <w:rFonts w:ascii="Arial" w:hAnsi="Arial" w:cs="Arial"/>
          <w:b/>
        </w:rPr>
        <w:t>1461</w:t>
      </w:r>
      <w:r>
        <w:rPr>
          <w:rFonts w:ascii="Arial" w:hAnsi="Arial" w:cs="Arial"/>
          <w:b/>
        </w:rPr>
        <w:t xml:space="preserve"> </w:t>
      </w:r>
      <w:r w:rsidRPr="00040197">
        <w:rPr>
          <w:rFonts w:ascii="Arial" w:hAnsi="Arial" w:cs="Arial"/>
          <w:b/>
        </w:rPr>
        <w:t>přijmout navržené usnesení.</w:t>
      </w:r>
    </w:p>
    <w:p w:rsidR="007A51ED" w:rsidRDefault="007A51ED" w:rsidP="007A51ED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7A51ED" w:rsidRDefault="007A51ED" w:rsidP="001878CE">
      <w:pPr>
        <w:jc w:val="both"/>
        <w:rPr>
          <w:rFonts w:ascii="Arial" w:hAnsi="Arial" w:cs="Arial"/>
          <w:b/>
        </w:rPr>
      </w:pPr>
    </w:p>
    <w:p w:rsidR="001878CE" w:rsidRPr="00507AA6" w:rsidRDefault="001878CE" w:rsidP="001878CE">
      <w:pPr>
        <w:jc w:val="both"/>
        <w:rPr>
          <w:rFonts w:ascii="Arial" w:hAnsi="Arial" w:cs="Arial"/>
          <w:b/>
        </w:rPr>
      </w:pPr>
      <w:r w:rsidRPr="002B35EA">
        <w:rPr>
          <w:rFonts w:ascii="Arial" w:hAnsi="Arial" w:cs="Arial"/>
          <w:b/>
        </w:rPr>
        <w:t xml:space="preserve">Stanovisko </w:t>
      </w:r>
      <w:r w:rsidRPr="00507AA6">
        <w:rPr>
          <w:rFonts w:ascii="Arial" w:hAnsi="Arial" w:cs="Arial"/>
          <w:b/>
        </w:rPr>
        <w:t>FO:</w:t>
      </w:r>
    </w:p>
    <w:p w:rsidR="00577CB3" w:rsidRPr="00507AA6" w:rsidRDefault="00507AA6" w:rsidP="001878CE">
      <w:pPr>
        <w:jc w:val="both"/>
        <w:rPr>
          <w:rFonts w:ascii="Arial" w:hAnsi="Arial" w:cs="Arial"/>
          <w:b/>
        </w:rPr>
      </w:pPr>
      <w:r w:rsidRPr="00507AA6">
        <w:rPr>
          <w:rFonts w:ascii="Arial" w:hAnsi="Arial" w:cs="Arial"/>
          <w:b/>
        </w:rPr>
        <w:t>Finanční odbor nemá námitky</w:t>
      </w:r>
      <w:r w:rsidRPr="00507AA6">
        <w:rPr>
          <w:rFonts w:ascii="Arial" w:hAnsi="Arial" w:cs="Arial"/>
        </w:rPr>
        <w:t xml:space="preserve"> k navrženému usnesení, ale upozorňuje, že vzhledem k tomu, že je fotbalový stadion svěřen do správy Domovní správy Prostějov a je pronajímán za osvobozený nájem, není možné uplatnit odpočet DPH. Rovněž v případě, že bude stadion poskytnut v režimu výpůjčky, </w:t>
      </w:r>
      <w:proofErr w:type="gramStart"/>
      <w:r w:rsidRPr="00507AA6">
        <w:rPr>
          <w:rFonts w:ascii="Arial" w:hAnsi="Arial" w:cs="Arial"/>
        </w:rPr>
        <w:t>tzn. nebude</w:t>
      </w:r>
      <w:proofErr w:type="gramEnd"/>
      <w:r w:rsidRPr="00507AA6">
        <w:rPr>
          <w:rFonts w:ascii="Arial" w:hAnsi="Arial" w:cs="Arial"/>
        </w:rPr>
        <w:t xml:space="preserve"> generovat žádné příjmy, </w:t>
      </w:r>
      <w:r w:rsidRPr="00507AA6">
        <w:rPr>
          <w:rFonts w:ascii="Arial" w:hAnsi="Arial" w:cs="Arial"/>
          <w:b/>
        </w:rPr>
        <w:t>nebude možné uplatnit odpočet DPH</w:t>
      </w:r>
      <w:r w:rsidRPr="00507AA6">
        <w:rPr>
          <w:rFonts w:ascii="Arial" w:hAnsi="Arial" w:cs="Arial"/>
        </w:rPr>
        <w:t>.</w:t>
      </w:r>
    </w:p>
    <w:p w:rsidR="001878CE" w:rsidRDefault="001878CE" w:rsidP="001878CE">
      <w:pPr>
        <w:jc w:val="both"/>
        <w:rPr>
          <w:rFonts w:ascii="Arial" w:hAnsi="Arial" w:cs="Arial"/>
          <w:b/>
        </w:rPr>
      </w:pPr>
    </w:p>
    <w:p w:rsidR="001878CE" w:rsidRPr="007234B9" w:rsidRDefault="001878CE" w:rsidP="001878CE">
      <w:pPr>
        <w:jc w:val="both"/>
        <w:rPr>
          <w:rFonts w:ascii="Arial" w:hAnsi="Arial" w:cs="Arial"/>
          <w:b/>
        </w:rPr>
      </w:pPr>
      <w:r w:rsidRPr="002B35EA">
        <w:rPr>
          <w:rFonts w:ascii="Arial" w:hAnsi="Arial" w:cs="Arial"/>
          <w:b/>
        </w:rPr>
        <w:t>Stanovisko OSÚMM:</w:t>
      </w:r>
      <w:r w:rsidR="007234B9">
        <w:rPr>
          <w:rFonts w:ascii="Arial" w:hAnsi="Arial" w:cs="Arial"/>
          <w:b/>
        </w:rPr>
        <w:t xml:space="preserve"> </w:t>
      </w:r>
      <w:r w:rsidR="007234B9" w:rsidRPr="007234B9">
        <w:rPr>
          <w:rFonts w:ascii="Arial" w:hAnsi="Arial" w:cs="Arial"/>
          <w:b/>
        </w:rPr>
        <w:t>Nemáme námitky</w:t>
      </w:r>
      <w:r w:rsidR="007234B9" w:rsidRPr="007234B9">
        <w:rPr>
          <w:rFonts w:ascii="Arial" w:hAnsi="Arial" w:cs="Arial"/>
        </w:rPr>
        <w:t xml:space="preserve"> k akci „Rekonstrukce fotbalového stadionu Za Místním nádražím“ a k přijetí navrhovaného usnesení. Způsob budoucího majetkoprávního ošetření užívání fotbalového areálu po realizaci stavby bude možno vyhodnotit až v návaznosti na konkrétní dotační podmínky. Aktuálně je fotbalový areál ve správě společnosti Domovní správa Prostějov, s.r.o., na základě Příkazní smlouvy č. 2018/50/104 ze dne </w:t>
      </w:r>
      <w:proofErr w:type="gramStart"/>
      <w:r w:rsidR="007234B9" w:rsidRPr="007234B9">
        <w:rPr>
          <w:rFonts w:ascii="Arial" w:hAnsi="Arial" w:cs="Arial"/>
        </w:rPr>
        <w:t>12.03.2018</w:t>
      </w:r>
      <w:proofErr w:type="gramEnd"/>
      <w:r w:rsidR="007234B9" w:rsidRPr="007234B9">
        <w:rPr>
          <w:rFonts w:ascii="Arial" w:hAnsi="Arial" w:cs="Arial"/>
        </w:rPr>
        <w:t xml:space="preserve"> a je dále pronajímán spolkům 1. SK Prostějov, </w:t>
      </w:r>
      <w:proofErr w:type="spellStart"/>
      <w:r w:rsidR="007234B9" w:rsidRPr="007234B9">
        <w:rPr>
          <w:rFonts w:ascii="Arial" w:hAnsi="Arial" w:cs="Arial"/>
        </w:rPr>
        <w:t>z.s</w:t>
      </w:r>
      <w:proofErr w:type="spellEnd"/>
      <w:r w:rsidR="007234B9" w:rsidRPr="007234B9">
        <w:rPr>
          <w:rFonts w:ascii="Arial" w:hAnsi="Arial" w:cs="Arial"/>
        </w:rPr>
        <w:t xml:space="preserve">., a TJ Haná. Dle sdělení Domovní správy Prostějov, s.r.o., jsou nájemní smlouvy uzavírány vždy na 1 rok a každoročně jsou prodlužovány. Nyní jsou nájemní smlouvy platné do </w:t>
      </w:r>
      <w:proofErr w:type="gramStart"/>
      <w:r w:rsidR="007234B9" w:rsidRPr="007234B9">
        <w:rPr>
          <w:rFonts w:ascii="Arial" w:hAnsi="Arial" w:cs="Arial"/>
        </w:rPr>
        <w:t>30.06.2022</w:t>
      </w:r>
      <w:proofErr w:type="gramEnd"/>
      <w:r w:rsidR="007234B9" w:rsidRPr="007234B9">
        <w:rPr>
          <w:rFonts w:ascii="Arial" w:hAnsi="Arial" w:cs="Arial"/>
        </w:rPr>
        <w:t xml:space="preserve">. Spolek 1. SK </w:t>
      </w:r>
      <w:proofErr w:type="gramStart"/>
      <w:r w:rsidR="007234B9" w:rsidRPr="007234B9">
        <w:rPr>
          <w:rFonts w:ascii="Arial" w:hAnsi="Arial" w:cs="Arial"/>
        </w:rPr>
        <w:t xml:space="preserve">Prostějov, </w:t>
      </w:r>
      <w:proofErr w:type="spellStart"/>
      <w:r w:rsidR="007234B9" w:rsidRPr="007234B9">
        <w:rPr>
          <w:rFonts w:ascii="Arial" w:hAnsi="Arial" w:cs="Arial"/>
        </w:rPr>
        <w:t>z.s</w:t>
      </w:r>
      <w:proofErr w:type="spellEnd"/>
      <w:r w:rsidR="007234B9" w:rsidRPr="007234B9">
        <w:rPr>
          <w:rFonts w:ascii="Arial" w:hAnsi="Arial" w:cs="Arial"/>
        </w:rPr>
        <w:t>.</w:t>
      </w:r>
      <w:proofErr w:type="gramEnd"/>
      <w:r w:rsidR="007234B9" w:rsidRPr="007234B9">
        <w:rPr>
          <w:rFonts w:ascii="Arial" w:hAnsi="Arial" w:cs="Arial"/>
        </w:rPr>
        <w:t>, má od společnosti Domovní správa Prostějov, s.r.o., souhlas poskytovat pronajaté hřiště A mužstvu mužů pro tréninky a pořádání zápasů. Lze s největší pravděpodobností předpokládat, že dle dotačních podmínek již nebude možné fotbalový areál dále pronajímat za úplatu, ale pouze bezplatně s tím, že  v rámci poskytnutí do užívání bude možné uživatelům účtovat pouze provozní náklady spojené s údržbou areálu.</w:t>
      </w:r>
    </w:p>
    <w:p w:rsidR="00D50F5A" w:rsidRDefault="00D50F5A" w:rsidP="001878CE">
      <w:pPr>
        <w:jc w:val="both"/>
        <w:rPr>
          <w:rFonts w:ascii="Arial" w:hAnsi="Arial" w:cs="Arial"/>
          <w:b/>
        </w:rPr>
      </w:pPr>
    </w:p>
    <w:p w:rsidR="001878CE" w:rsidRPr="00C405E4" w:rsidRDefault="001878CE" w:rsidP="001878CE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C405E4">
        <w:rPr>
          <w:rFonts w:ascii="Arial" w:hAnsi="Arial" w:cs="Arial"/>
          <w:b/>
          <w:u w:val="single"/>
        </w:rPr>
        <w:t>Stanovisko</w:t>
      </w:r>
      <w:r>
        <w:rPr>
          <w:rFonts w:ascii="Arial" w:hAnsi="Arial" w:cs="Arial"/>
          <w:b/>
          <w:bCs/>
          <w:u w:val="single"/>
        </w:rPr>
        <w:t xml:space="preserve"> předkladatelů</w:t>
      </w:r>
      <w:r w:rsidRPr="00C405E4">
        <w:rPr>
          <w:rFonts w:ascii="Arial" w:hAnsi="Arial" w:cs="Arial"/>
          <w:b/>
          <w:bCs/>
          <w:u w:val="single"/>
        </w:rPr>
        <w:t>:</w:t>
      </w:r>
    </w:p>
    <w:p w:rsidR="001878CE" w:rsidRDefault="001878CE" w:rsidP="001878CE">
      <w:pPr>
        <w:ind w:right="567"/>
        <w:jc w:val="both"/>
        <w:rPr>
          <w:rFonts w:ascii="Arial" w:hAnsi="Arial" w:cs="Arial"/>
          <w:b/>
          <w:bCs/>
        </w:rPr>
      </w:pPr>
      <w:r w:rsidRPr="00C405E4">
        <w:rPr>
          <w:rFonts w:ascii="Arial" w:hAnsi="Arial" w:cs="Arial"/>
          <w:b/>
          <w:bCs/>
        </w:rPr>
        <w:t xml:space="preserve">Odbor </w:t>
      </w:r>
      <w:r>
        <w:rPr>
          <w:rFonts w:ascii="Arial" w:hAnsi="Arial" w:cs="Arial"/>
          <w:b/>
          <w:bCs/>
        </w:rPr>
        <w:t>dotací a veřejných zakázek a Odbor rozvoje a investic doporučují</w:t>
      </w:r>
      <w:r w:rsidRPr="00C405E4">
        <w:rPr>
          <w:rFonts w:ascii="Arial" w:hAnsi="Arial" w:cs="Arial"/>
          <w:b/>
          <w:bCs/>
        </w:rPr>
        <w:t xml:space="preserve"> přijetí navrhovaného usnesení.</w:t>
      </w:r>
    </w:p>
    <w:p w:rsidR="001878CE" w:rsidRDefault="001878CE" w:rsidP="001878CE">
      <w:pPr>
        <w:ind w:right="567"/>
        <w:jc w:val="both"/>
        <w:rPr>
          <w:rFonts w:ascii="Arial" w:hAnsi="Arial" w:cs="Arial"/>
          <w:b/>
          <w:bCs/>
        </w:rPr>
      </w:pPr>
    </w:p>
    <w:p w:rsidR="007A51ED" w:rsidRDefault="007A51ED" w:rsidP="001878CE">
      <w:pPr>
        <w:ind w:right="567"/>
        <w:jc w:val="both"/>
        <w:rPr>
          <w:rFonts w:ascii="Arial" w:hAnsi="Arial" w:cs="Arial"/>
          <w:b/>
          <w:bCs/>
        </w:rPr>
      </w:pPr>
    </w:p>
    <w:p w:rsidR="007A51ED" w:rsidRDefault="007A51ED" w:rsidP="001878CE">
      <w:pPr>
        <w:ind w:right="567"/>
        <w:jc w:val="both"/>
        <w:rPr>
          <w:rFonts w:ascii="Arial" w:hAnsi="Arial" w:cs="Arial"/>
          <w:b/>
          <w:bCs/>
        </w:rPr>
      </w:pPr>
    </w:p>
    <w:p w:rsidR="001878CE" w:rsidRDefault="001878CE" w:rsidP="001878CE">
      <w:pPr>
        <w:ind w:right="567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1878CE" w:rsidRPr="00C405E4" w:rsidTr="006E44DA">
        <w:tc>
          <w:tcPr>
            <w:tcW w:w="9488" w:type="dxa"/>
            <w:gridSpan w:val="4"/>
            <w:shd w:val="clear" w:color="auto" w:fill="EEECE1" w:themeFill="background2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lastRenderedPageBreak/>
              <w:t xml:space="preserve">Důvodová zpráva obsahuje stanoviska dotčených odborů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1878CE" w:rsidRPr="00C405E4" w:rsidTr="006E44DA">
        <w:tc>
          <w:tcPr>
            <w:tcW w:w="3181" w:type="dxa"/>
            <w:gridSpan w:val="2"/>
            <w:shd w:val="clear" w:color="auto" w:fill="EEECE1" w:themeFill="background2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Resumé</w:t>
            </w:r>
          </w:p>
        </w:tc>
      </w:tr>
      <w:tr w:rsidR="001878CE" w:rsidRPr="00C405E4" w:rsidTr="006E44DA">
        <w:tc>
          <w:tcPr>
            <w:tcW w:w="417" w:type="dxa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ODVZ</w:t>
            </w:r>
          </w:p>
        </w:tc>
        <w:tc>
          <w:tcPr>
            <w:tcW w:w="2368" w:type="dxa"/>
          </w:tcPr>
          <w:p w:rsidR="001878CE" w:rsidRPr="00C405E4" w:rsidRDefault="001878CE" w:rsidP="006E44D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1878CE" w:rsidRPr="00C405E4" w:rsidRDefault="001878CE" w:rsidP="006E44DA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1878CE" w:rsidRPr="00C405E4" w:rsidTr="006E44DA">
        <w:tc>
          <w:tcPr>
            <w:tcW w:w="417" w:type="dxa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4" w:type="dxa"/>
          </w:tcPr>
          <w:p w:rsidR="001878CE" w:rsidRPr="00C405E4" w:rsidRDefault="001878CE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8" w:type="dxa"/>
          </w:tcPr>
          <w:p w:rsidR="001878CE" w:rsidRPr="00C405E4" w:rsidRDefault="001878CE" w:rsidP="006E44D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1878CE" w:rsidRPr="00C405E4" w:rsidRDefault="001878CE" w:rsidP="006E44DA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577CB3" w:rsidRPr="00C405E4" w:rsidTr="006E44DA">
        <w:tc>
          <w:tcPr>
            <w:tcW w:w="417" w:type="dxa"/>
          </w:tcPr>
          <w:p w:rsidR="00577CB3" w:rsidRPr="00C405E4" w:rsidRDefault="00577CB3" w:rsidP="00577CB3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</w:tcPr>
          <w:p w:rsidR="00577CB3" w:rsidRPr="00C405E4" w:rsidRDefault="00577CB3" w:rsidP="00577CB3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68" w:type="dxa"/>
          </w:tcPr>
          <w:p w:rsidR="00577CB3" w:rsidRPr="00577CB3" w:rsidRDefault="00577CB3" w:rsidP="00577CB3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77CB3">
              <w:rPr>
                <w:rFonts w:ascii="Arial" w:hAnsi="Arial" w:cs="Arial"/>
                <w:bCs/>
              </w:rPr>
              <w:t>26.05.2021</w:t>
            </w:r>
            <w:proofErr w:type="gramEnd"/>
          </w:p>
        </w:tc>
        <w:tc>
          <w:tcPr>
            <w:tcW w:w="3939" w:type="dxa"/>
          </w:tcPr>
          <w:p w:rsidR="00577CB3" w:rsidRPr="00577CB3" w:rsidRDefault="00577CB3" w:rsidP="00577CB3">
            <w:pPr>
              <w:rPr>
                <w:rFonts w:ascii="Arial" w:hAnsi="Arial" w:cs="Arial"/>
                <w:bCs/>
              </w:rPr>
            </w:pPr>
            <w:r w:rsidRPr="00577CB3">
              <w:rPr>
                <w:rFonts w:ascii="Arial" w:hAnsi="Arial" w:cs="Arial"/>
                <w:bCs/>
              </w:rPr>
              <w:t>nemá námitky</w:t>
            </w:r>
          </w:p>
        </w:tc>
      </w:tr>
      <w:tr w:rsidR="00577CB3" w:rsidRPr="00C405E4" w:rsidTr="006E44DA">
        <w:tc>
          <w:tcPr>
            <w:tcW w:w="417" w:type="dxa"/>
          </w:tcPr>
          <w:p w:rsidR="00577CB3" w:rsidRPr="00C405E4" w:rsidRDefault="00577CB3" w:rsidP="00577CB3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4" w:type="dxa"/>
          </w:tcPr>
          <w:p w:rsidR="00577CB3" w:rsidRPr="00C405E4" w:rsidRDefault="00577CB3" w:rsidP="00577CB3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577CB3" w:rsidRPr="007234B9" w:rsidRDefault="00577CB3" w:rsidP="00577CB3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7234B9"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577CB3" w:rsidRPr="007234B9" w:rsidRDefault="00577CB3" w:rsidP="00577CB3">
            <w:pPr>
              <w:rPr>
                <w:rFonts w:ascii="Arial" w:hAnsi="Arial" w:cs="Arial"/>
                <w:bCs/>
              </w:rPr>
            </w:pPr>
            <w:r w:rsidRPr="007234B9">
              <w:rPr>
                <w:rFonts w:ascii="Arial" w:hAnsi="Arial" w:cs="Arial"/>
                <w:bCs/>
              </w:rPr>
              <w:t>nemá námitky</w:t>
            </w:r>
          </w:p>
        </w:tc>
      </w:tr>
    </w:tbl>
    <w:p w:rsidR="001878CE" w:rsidRDefault="001878CE" w:rsidP="001878CE">
      <w:pPr>
        <w:ind w:right="567"/>
        <w:jc w:val="both"/>
        <w:rPr>
          <w:rFonts w:ascii="Arial" w:hAnsi="Arial" w:cs="Arial"/>
          <w:b/>
          <w:bCs/>
        </w:rPr>
      </w:pPr>
    </w:p>
    <w:p w:rsidR="001878CE" w:rsidRDefault="001878CE" w:rsidP="00866394">
      <w:pPr>
        <w:jc w:val="both"/>
        <w:rPr>
          <w:rFonts w:ascii="Arial" w:hAnsi="Arial" w:cs="Arial"/>
        </w:rPr>
      </w:pPr>
    </w:p>
    <w:p w:rsidR="00866394" w:rsidRPr="002B7635" w:rsidRDefault="00866394" w:rsidP="00866394">
      <w:pPr>
        <w:jc w:val="both"/>
        <w:rPr>
          <w:rFonts w:ascii="Arial" w:hAnsi="Arial" w:cs="Arial"/>
        </w:rPr>
      </w:pPr>
    </w:p>
    <w:p w:rsidR="00B8533E" w:rsidRPr="002B7635" w:rsidRDefault="00B8533E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B7635">
        <w:rPr>
          <w:rFonts w:ascii="Arial" w:hAnsi="Arial" w:cs="Arial"/>
          <w:b/>
          <w:sz w:val="24"/>
          <w:u w:val="single"/>
        </w:rPr>
        <w:t>Příloh</w:t>
      </w:r>
      <w:r w:rsidR="00431DB6" w:rsidRPr="002B7635">
        <w:rPr>
          <w:rFonts w:ascii="Arial" w:hAnsi="Arial" w:cs="Arial"/>
          <w:b/>
          <w:sz w:val="24"/>
          <w:u w:val="single"/>
        </w:rPr>
        <w:t>a</w:t>
      </w:r>
      <w:r w:rsidRPr="002B7635">
        <w:rPr>
          <w:rFonts w:ascii="Arial" w:hAnsi="Arial" w:cs="Arial"/>
          <w:b/>
          <w:sz w:val="24"/>
          <w:u w:val="single"/>
        </w:rPr>
        <w:t>:</w:t>
      </w:r>
    </w:p>
    <w:p w:rsidR="00594B25" w:rsidRDefault="007A51ED" w:rsidP="00866394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sectPr w:rsidR="00594B25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E" w:rsidRDefault="007D781E" w:rsidP="00C71327">
      <w:r>
        <w:separator/>
      </w:r>
    </w:p>
  </w:endnote>
  <w:endnote w:type="continuationSeparator" w:id="0">
    <w:p w:rsidR="007D781E" w:rsidRDefault="007D781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D61DF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DE62E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5</w:t>
    </w:r>
    <w:r w:rsidR="00DE62E6">
      <w:rPr>
        <w:rFonts w:ascii="Arial" w:eastAsiaTheme="majorEastAsia" w:hAnsi="Arial" w:cs="Arial"/>
        <w:sz w:val="20"/>
        <w:szCs w:val="20"/>
      </w:rPr>
      <w:t>. 6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. </w:t>
    </w:r>
    <w:r w:rsidR="00D57174">
      <w:rPr>
        <w:rFonts w:ascii="Arial" w:eastAsiaTheme="majorEastAsia" w:hAnsi="Arial" w:cs="Arial"/>
        <w:sz w:val="20"/>
        <w:szCs w:val="20"/>
      </w:rPr>
      <w:t>2021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D477B" w:rsidRPr="005D477B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DE62E6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DE62E6">
      <w:rPr>
        <w:rFonts w:ascii="Arial" w:hAnsi="Arial" w:cs="Arial"/>
        <w:sz w:val="20"/>
        <w:szCs w:val="20"/>
      </w:rPr>
      <w:t>Schválení podání žádosti o dotaci na akci „Re</w:t>
    </w:r>
    <w:r w:rsidR="00D61DF1">
      <w:rPr>
        <w:rFonts w:ascii="Arial" w:hAnsi="Arial" w:cs="Arial"/>
        <w:sz w:val="20"/>
        <w:szCs w:val="20"/>
      </w:rPr>
      <w:t xml:space="preserve">konstrukce fotbalového stadionu </w:t>
    </w:r>
    <w:r w:rsidR="007234B9" w:rsidRPr="007234B9">
      <w:rPr>
        <w:rFonts w:ascii="Arial" w:hAnsi="Arial" w:cs="Arial"/>
        <w:sz w:val="20"/>
        <w:szCs w:val="20"/>
      </w:rPr>
      <w:t>Za Místním nádražím</w:t>
    </w:r>
    <w:r w:rsidRPr="00DE62E6">
      <w:rPr>
        <w:rFonts w:ascii="Arial" w:hAnsi="Arial" w:cs="Arial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E" w:rsidRDefault="007D781E" w:rsidP="00C71327">
      <w:r>
        <w:separator/>
      </w:r>
    </w:p>
  </w:footnote>
  <w:footnote w:type="continuationSeparator" w:id="0">
    <w:p w:rsidR="007D781E" w:rsidRDefault="007D781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6C44"/>
    <w:multiLevelType w:val="hybridMultilevel"/>
    <w:tmpl w:val="E7400B2C"/>
    <w:lvl w:ilvl="0" w:tplc="56E60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35A33"/>
    <w:multiLevelType w:val="hybridMultilevel"/>
    <w:tmpl w:val="5FB88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D6C1D"/>
    <w:multiLevelType w:val="hybridMultilevel"/>
    <w:tmpl w:val="18FE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F3EB8"/>
    <w:multiLevelType w:val="hybridMultilevel"/>
    <w:tmpl w:val="DF04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3F2F"/>
    <w:multiLevelType w:val="hybridMultilevel"/>
    <w:tmpl w:val="65666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34"/>
  </w:num>
  <w:num w:numId="4">
    <w:abstractNumId w:val="12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9"/>
  </w:num>
  <w:num w:numId="27">
    <w:abstractNumId w:val="9"/>
  </w:num>
  <w:num w:numId="28">
    <w:abstractNumId w:val="7"/>
  </w:num>
  <w:num w:numId="29">
    <w:abstractNumId w:val="1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28"/>
  </w:num>
  <w:num w:numId="38">
    <w:abstractNumId w:val="21"/>
  </w:num>
  <w:num w:numId="39">
    <w:abstractNumId w:val="5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7325"/>
    <w:rsid w:val="0004432C"/>
    <w:rsid w:val="00044B07"/>
    <w:rsid w:val="00063EF7"/>
    <w:rsid w:val="00065509"/>
    <w:rsid w:val="00072FEA"/>
    <w:rsid w:val="000774DA"/>
    <w:rsid w:val="00082232"/>
    <w:rsid w:val="00096EAC"/>
    <w:rsid w:val="000A2277"/>
    <w:rsid w:val="000A6551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107"/>
    <w:rsid w:val="000D6ACF"/>
    <w:rsid w:val="000D727B"/>
    <w:rsid w:val="000D7652"/>
    <w:rsid w:val="000D783B"/>
    <w:rsid w:val="000D7CDE"/>
    <w:rsid w:val="000E4C34"/>
    <w:rsid w:val="000E7EE7"/>
    <w:rsid w:val="000F684E"/>
    <w:rsid w:val="00100A26"/>
    <w:rsid w:val="001045F0"/>
    <w:rsid w:val="00117112"/>
    <w:rsid w:val="001205EA"/>
    <w:rsid w:val="0012120A"/>
    <w:rsid w:val="001233F0"/>
    <w:rsid w:val="001235F2"/>
    <w:rsid w:val="0012369F"/>
    <w:rsid w:val="00125A05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06BC"/>
    <w:rsid w:val="001822FE"/>
    <w:rsid w:val="00183401"/>
    <w:rsid w:val="001865DA"/>
    <w:rsid w:val="001878CE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CCB"/>
    <w:rsid w:val="001B2461"/>
    <w:rsid w:val="001B78C4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3001"/>
    <w:rsid w:val="00234B4B"/>
    <w:rsid w:val="00244B64"/>
    <w:rsid w:val="00245841"/>
    <w:rsid w:val="00250140"/>
    <w:rsid w:val="002563EF"/>
    <w:rsid w:val="002608D5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75A2"/>
    <w:rsid w:val="00292B12"/>
    <w:rsid w:val="002971A4"/>
    <w:rsid w:val="00297BB4"/>
    <w:rsid w:val="002A7199"/>
    <w:rsid w:val="002B2584"/>
    <w:rsid w:val="002B666E"/>
    <w:rsid w:val="002B7635"/>
    <w:rsid w:val="002B76A2"/>
    <w:rsid w:val="002C0192"/>
    <w:rsid w:val="002C170F"/>
    <w:rsid w:val="002C4BD8"/>
    <w:rsid w:val="002D29C0"/>
    <w:rsid w:val="002E7615"/>
    <w:rsid w:val="002F33E8"/>
    <w:rsid w:val="003074FB"/>
    <w:rsid w:val="0033417B"/>
    <w:rsid w:val="00347C0D"/>
    <w:rsid w:val="00350993"/>
    <w:rsid w:val="00350BEB"/>
    <w:rsid w:val="003541B9"/>
    <w:rsid w:val="00354CAE"/>
    <w:rsid w:val="0036096C"/>
    <w:rsid w:val="00362F9B"/>
    <w:rsid w:val="00364D83"/>
    <w:rsid w:val="003700BA"/>
    <w:rsid w:val="003746EB"/>
    <w:rsid w:val="00376AEC"/>
    <w:rsid w:val="0038055D"/>
    <w:rsid w:val="003859AF"/>
    <w:rsid w:val="00390D7E"/>
    <w:rsid w:val="00393A85"/>
    <w:rsid w:val="00395364"/>
    <w:rsid w:val="00395A55"/>
    <w:rsid w:val="003A1D99"/>
    <w:rsid w:val="003A3C4F"/>
    <w:rsid w:val="003A4BCF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1A55"/>
    <w:rsid w:val="003F2EC3"/>
    <w:rsid w:val="00404F71"/>
    <w:rsid w:val="00414DA0"/>
    <w:rsid w:val="004223E0"/>
    <w:rsid w:val="00423569"/>
    <w:rsid w:val="00425B5E"/>
    <w:rsid w:val="0042683F"/>
    <w:rsid w:val="00427CAF"/>
    <w:rsid w:val="00431241"/>
    <w:rsid w:val="00431DB6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65E0D"/>
    <w:rsid w:val="00471438"/>
    <w:rsid w:val="004735D4"/>
    <w:rsid w:val="00473893"/>
    <w:rsid w:val="00475B01"/>
    <w:rsid w:val="0047637D"/>
    <w:rsid w:val="00490073"/>
    <w:rsid w:val="00491458"/>
    <w:rsid w:val="0049506E"/>
    <w:rsid w:val="004A08BB"/>
    <w:rsid w:val="004A451F"/>
    <w:rsid w:val="004A70BD"/>
    <w:rsid w:val="004A7359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CA0"/>
    <w:rsid w:val="00504426"/>
    <w:rsid w:val="0050637B"/>
    <w:rsid w:val="00507AA6"/>
    <w:rsid w:val="0051078C"/>
    <w:rsid w:val="00516AB2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99A"/>
    <w:rsid w:val="00563ECE"/>
    <w:rsid w:val="00564E6B"/>
    <w:rsid w:val="00570817"/>
    <w:rsid w:val="00570972"/>
    <w:rsid w:val="00576F63"/>
    <w:rsid w:val="00577CB3"/>
    <w:rsid w:val="00582691"/>
    <w:rsid w:val="00582C6A"/>
    <w:rsid w:val="00583355"/>
    <w:rsid w:val="00594B25"/>
    <w:rsid w:val="005974BE"/>
    <w:rsid w:val="00597BE0"/>
    <w:rsid w:val="00597C44"/>
    <w:rsid w:val="005A0A7C"/>
    <w:rsid w:val="005A46B6"/>
    <w:rsid w:val="005A59BB"/>
    <w:rsid w:val="005A7000"/>
    <w:rsid w:val="005B1243"/>
    <w:rsid w:val="005D0BD5"/>
    <w:rsid w:val="005D477B"/>
    <w:rsid w:val="005E06A8"/>
    <w:rsid w:val="005E1B64"/>
    <w:rsid w:val="005E2D1F"/>
    <w:rsid w:val="005E2DC1"/>
    <w:rsid w:val="005F1B0D"/>
    <w:rsid w:val="005F2BEE"/>
    <w:rsid w:val="00600780"/>
    <w:rsid w:val="00603EA6"/>
    <w:rsid w:val="006130EE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1678"/>
    <w:rsid w:val="00666A71"/>
    <w:rsid w:val="00667FAC"/>
    <w:rsid w:val="00673F5F"/>
    <w:rsid w:val="00676529"/>
    <w:rsid w:val="00676D7C"/>
    <w:rsid w:val="00690806"/>
    <w:rsid w:val="00693B2B"/>
    <w:rsid w:val="0069459A"/>
    <w:rsid w:val="0069580F"/>
    <w:rsid w:val="006A461B"/>
    <w:rsid w:val="006B2BC4"/>
    <w:rsid w:val="006B3269"/>
    <w:rsid w:val="006B3381"/>
    <w:rsid w:val="006B5093"/>
    <w:rsid w:val="006C0AFE"/>
    <w:rsid w:val="006C2FCA"/>
    <w:rsid w:val="006C3639"/>
    <w:rsid w:val="006C6D83"/>
    <w:rsid w:val="006D4C78"/>
    <w:rsid w:val="006E2AEE"/>
    <w:rsid w:val="006E36F4"/>
    <w:rsid w:val="006E3DC0"/>
    <w:rsid w:val="006E5699"/>
    <w:rsid w:val="006E772C"/>
    <w:rsid w:val="006F60F1"/>
    <w:rsid w:val="00702EB5"/>
    <w:rsid w:val="00710CAD"/>
    <w:rsid w:val="007125D4"/>
    <w:rsid w:val="007178DC"/>
    <w:rsid w:val="00722582"/>
    <w:rsid w:val="007234B9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1ED"/>
    <w:rsid w:val="007A5F4B"/>
    <w:rsid w:val="007B1CD5"/>
    <w:rsid w:val="007B6F9C"/>
    <w:rsid w:val="007C2384"/>
    <w:rsid w:val="007C3A49"/>
    <w:rsid w:val="007C63BB"/>
    <w:rsid w:val="007D406A"/>
    <w:rsid w:val="007D4169"/>
    <w:rsid w:val="007D76DF"/>
    <w:rsid w:val="007D781E"/>
    <w:rsid w:val="007E0739"/>
    <w:rsid w:val="007E0E54"/>
    <w:rsid w:val="007E1566"/>
    <w:rsid w:val="007E1641"/>
    <w:rsid w:val="007E2FF1"/>
    <w:rsid w:val="007E32B8"/>
    <w:rsid w:val="007F1C72"/>
    <w:rsid w:val="007F1D75"/>
    <w:rsid w:val="007F2D29"/>
    <w:rsid w:val="007F5274"/>
    <w:rsid w:val="007F6FC8"/>
    <w:rsid w:val="00801F0A"/>
    <w:rsid w:val="0080204A"/>
    <w:rsid w:val="00804315"/>
    <w:rsid w:val="00804727"/>
    <w:rsid w:val="00807414"/>
    <w:rsid w:val="00810A67"/>
    <w:rsid w:val="00816471"/>
    <w:rsid w:val="00821355"/>
    <w:rsid w:val="008224D5"/>
    <w:rsid w:val="00822D80"/>
    <w:rsid w:val="00832AFF"/>
    <w:rsid w:val="00835156"/>
    <w:rsid w:val="00844E83"/>
    <w:rsid w:val="0084537E"/>
    <w:rsid w:val="008458AD"/>
    <w:rsid w:val="008475D3"/>
    <w:rsid w:val="00847A6E"/>
    <w:rsid w:val="0085445A"/>
    <w:rsid w:val="0086497F"/>
    <w:rsid w:val="00866394"/>
    <w:rsid w:val="00872348"/>
    <w:rsid w:val="00875CBF"/>
    <w:rsid w:val="00877DE9"/>
    <w:rsid w:val="008869AE"/>
    <w:rsid w:val="00887FD7"/>
    <w:rsid w:val="00893F69"/>
    <w:rsid w:val="0089741F"/>
    <w:rsid w:val="00897FB0"/>
    <w:rsid w:val="008A2935"/>
    <w:rsid w:val="008A4919"/>
    <w:rsid w:val="008A5236"/>
    <w:rsid w:val="008A52D1"/>
    <w:rsid w:val="008A7112"/>
    <w:rsid w:val="008B4A62"/>
    <w:rsid w:val="008C1A58"/>
    <w:rsid w:val="008C1D69"/>
    <w:rsid w:val="008D1A1F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6B6"/>
    <w:rsid w:val="00914A32"/>
    <w:rsid w:val="00914B4E"/>
    <w:rsid w:val="00916B74"/>
    <w:rsid w:val="00916C5B"/>
    <w:rsid w:val="00917351"/>
    <w:rsid w:val="00917B9A"/>
    <w:rsid w:val="00921417"/>
    <w:rsid w:val="00921485"/>
    <w:rsid w:val="0092228A"/>
    <w:rsid w:val="00922333"/>
    <w:rsid w:val="00924C70"/>
    <w:rsid w:val="00933C2D"/>
    <w:rsid w:val="009367D2"/>
    <w:rsid w:val="00940AF6"/>
    <w:rsid w:val="00942A37"/>
    <w:rsid w:val="00942A3E"/>
    <w:rsid w:val="00944E81"/>
    <w:rsid w:val="0094517F"/>
    <w:rsid w:val="00951723"/>
    <w:rsid w:val="00951EBD"/>
    <w:rsid w:val="009540F2"/>
    <w:rsid w:val="009554C8"/>
    <w:rsid w:val="00956011"/>
    <w:rsid w:val="009606AB"/>
    <w:rsid w:val="00965BF0"/>
    <w:rsid w:val="00965DD4"/>
    <w:rsid w:val="00977214"/>
    <w:rsid w:val="00977A21"/>
    <w:rsid w:val="00985349"/>
    <w:rsid w:val="00985E8D"/>
    <w:rsid w:val="009A2FD9"/>
    <w:rsid w:val="009A2FF9"/>
    <w:rsid w:val="009A3BFB"/>
    <w:rsid w:val="009B1D22"/>
    <w:rsid w:val="009C06C1"/>
    <w:rsid w:val="009D1A86"/>
    <w:rsid w:val="009D6A74"/>
    <w:rsid w:val="009E172D"/>
    <w:rsid w:val="009E4D4E"/>
    <w:rsid w:val="009E565A"/>
    <w:rsid w:val="009F3D54"/>
    <w:rsid w:val="009F5A8E"/>
    <w:rsid w:val="009F7AD7"/>
    <w:rsid w:val="009F7C29"/>
    <w:rsid w:val="00A01AFA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7758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4663"/>
    <w:rsid w:val="00AE5624"/>
    <w:rsid w:val="00AE5A09"/>
    <w:rsid w:val="00AF7D9F"/>
    <w:rsid w:val="00B03D3C"/>
    <w:rsid w:val="00B10082"/>
    <w:rsid w:val="00B10870"/>
    <w:rsid w:val="00B13306"/>
    <w:rsid w:val="00B15D32"/>
    <w:rsid w:val="00B1705E"/>
    <w:rsid w:val="00B17D7C"/>
    <w:rsid w:val="00B20092"/>
    <w:rsid w:val="00B2037D"/>
    <w:rsid w:val="00B25A62"/>
    <w:rsid w:val="00B30981"/>
    <w:rsid w:val="00B35D32"/>
    <w:rsid w:val="00B40A0A"/>
    <w:rsid w:val="00B54413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47E1"/>
    <w:rsid w:val="00BC752D"/>
    <w:rsid w:val="00BD09C8"/>
    <w:rsid w:val="00BD3FBF"/>
    <w:rsid w:val="00BE04BE"/>
    <w:rsid w:val="00BE0710"/>
    <w:rsid w:val="00BE1F17"/>
    <w:rsid w:val="00C04D5E"/>
    <w:rsid w:val="00C06FC3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56F6B"/>
    <w:rsid w:val="00C6151D"/>
    <w:rsid w:val="00C62EA1"/>
    <w:rsid w:val="00C65BEE"/>
    <w:rsid w:val="00C65D25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7F6"/>
    <w:rsid w:val="00CE5CB6"/>
    <w:rsid w:val="00CE7668"/>
    <w:rsid w:val="00CF32DC"/>
    <w:rsid w:val="00CF621A"/>
    <w:rsid w:val="00D0330F"/>
    <w:rsid w:val="00D035A8"/>
    <w:rsid w:val="00D03D66"/>
    <w:rsid w:val="00D065CC"/>
    <w:rsid w:val="00D075F7"/>
    <w:rsid w:val="00D10F5B"/>
    <w:rsid w:val="00D13CB3"/>
    <w:rsid w:val="00D16047"/>
    <w:rsid w:val="00D1621E"/>
    <w:rsid w:val="00D16B84"/>
    <w:rsid w:val="00D17423"/>
    <w:rsid w:val="00D319D7"/>
    <w:rsid w:val="00D337B9"/>
    <w:rsid w:val="00D42000"/>
    <w:rsid w:val="00D42840"/>
    <w:rsid w:val="00D42908"/>
    <w:rsid w:val="00D44774"/>
    <w:rsid w:val="00D50F5A"/>
    <w:rsid w:val="00D5335C"/>
    <w:rsid w:val="00D57174"/>
    <w:rsid w:val="00D57C24"/>
    <w:rsid w:val="00D61DF1"/>
    <w:rsid w:val="00D6518E"/>
    <w:rsid w:val="00D719A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C798A"/>
    <w:rsid w:val="00DD4A68"/>
    <w:rsid w:val="00DE2392"/>
    <w:rsid w:val="00DE2688"/>
    <w:rsid w:val="00DE373A"/>
    <w:rsid w:val="00DE62E6"/>
    <w:rsid w:val="00DF1B0F"/>
    <w:rsid w:val="00E03BBB"/>
    <w:rsid w:val="00E068E5"/>
    <w:rsid w:val="00E06C9C"/>
    <w:rsid w:val="00E20A9D"/>
    <w:rsid w:val="00E27615"/>
    <w:rsid w:val="00E302DF"/>
    <w:rsid w:val="00E41E9D"/>
    <w:rsid w:val="00E421CB"/>
    <w:rsid w:val="00E43BDE"/>
    <w:rsid w:val="00E44C46"/>
    <w:rsid w:val="00E4711C"/>
    <w:rsid w:val="00E511AC"/>
    <w:rsid w:val="00E62210"/>
    <w:rsid w:val="00E630F3"/>
    <w:rsid w:val="00E6619E"/>
    <w:rsid w:val="00E671C9"/>
    <w:rsid w:val="00E7386B"/>
    <w:rsid w:val="00E7459F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3B1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374D5"/>
    <w:rsid w:val="00F42054"/>
    <w:rsid w:val="00F45B58"/>
    <w:rsid w:val="00F45E08"/>
    <w:rsid w:val="00F461B6"/>
    <w:rsid w:val="00F464C0"/>
    <w:rsid w:val="00F527AE"/>
    <w:rsid w:val="00F569AF"/>
    <w:rsid w:val="00F6642B"/>
    <w:rsid w:val="00F666B1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87F"/>
    <w:rsid w:val="00FB2A19"/>
    <w:rsid w:val="00FB504F"/>
    <w:rsid w:val="00FB5DCE"/>
    <w:rsid w:val="00FC1A37"/>
    <w:rsid w:val="00FC4C8A"/>
    <w:rsid w:val="00FC51A5"/>
    <w:rsid w:val="00FC7173"/>
    <w:rsid w:val="00FD3F5B"/>
    <w:rsid w:val="00FD4B64"/>
    <w:rsid w:val="00FD6B41"/>
    <w:rsid w:val="00FE3AB7"/>
    <w:rsid w:val="00FE65DF"/>
    <w:rsid w:val="00FE7552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957B5-817F-4FD3-8325-A2F245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E2EB-481B-42E5-9CC7-3E007479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26</cp:revision>
  <cp:lastPrinted>2020-10-15T13:19:00Z</cp:lastPrinted>
  <dcterms:created xsi:type="dcterms:W3CDTF">2021-04-16T06:43:00Z</dcterms:created>
  <dcterms:modified xsi:type="dcterms:W3CDTF">2021-06-02T11:58:00Z</dcterms:modified>
</cp:coreProperties>
</file>