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8" w:rsidRDefault="00152218">
      <w:pPr>
        <w:pStyle w:val="Nadpis1"/>
        <w:ind w:left="8496"/>
        <w:jc w:val="left"/>
        <w:rPr>
          <w:sz w:val="40"/>
        </w:rPr>
      </w:pPr>
      <w:r>
        <w:rPr>
          <w:sz w:val="40"/>
        </w:rPr>
        <w:t>č.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9A27C0">
        <w:rPr>
          <w:rFonts w:ascii="Arial" w:hAnsi="Arial" w:cs="Arial"/>
          <w:bCs/>
          <w:szCs w:val="20"/>
        </w:rPr>
        <w:t>Petr Brückner</w:t>
      </w:r>
    </w:p>
    <w:p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0054F9" w:rsidRDefault="00551B4E" w:rsidP="00F65C1F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F65C1F" w:rsidRPr="005F721A" w:rsidRDefault="00F65C1F" w:rsidP="00F65C1F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</w:p>
    <w:p w:rsidR="00F65C1F" w:rsidRPr="00613D71" w:rsidRDefault="00F65C1F" w:rsidP="00F65C1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13D71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F65C1F" w:rsidRPr="00613D71" w:rsidRDefault="00F65C1F" w:rsidP="00F65C1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13D71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15.06</w:t>
      </w:r>
      <w:r w:rsidRPr="00613D71">
        <w:rPr>
          <w:rFonts w:ascii="Arial" w:hAnsi="Arial" w:cs="Arial"/>
          <w:bCs/>
          <w:sz w:val="36"/>
          <w:szCs w:val="36"/>
        </w:rPr>
        <w:t>.2021</w:t>
      </w:r>
      <w:proofErr w:type="gramEnd"/>
    </w:p>
    <w:p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:rsidR="004F5CB0" w:rsidRPr="004F5CB0" w:rsidRDefault="000054F9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  <w:r w:rsidRPr="000054F9">
        <w:rPr>
          <w:rFonts w:ascii="Arial" w:hAnsi="Arial" w:cs="Arial"/>
          <w:b/>
          <w:sz w:val="24"/>
        </w:rPr>
        <w:t>Veřejné prostranství u ZŠ Husova</w:t>
      </w: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F65C1F" w:rsidRPr="0085439C" w:rsidRDefault="00F65C1F" w:rsidP="00F65C1F">
      <w:pPr>
        <w:suppressAutoHyphens/>
        <w:rPr>
          <w:rFonts w:ascii="Arial" w:hAnsi="Arial" w:cs="Arial"/>
          <w:b/>
          <w:sz w:val="24"/>
        </w:rPr>
      </w:pPr>
      <w:r w:rsidRPr="0085439C">
        <w:rPr>
          <w:rFonts w:ascii="Arial" w:hAnsi="Arial" w:cs="Arial"/>
          <w:b/>
          <w:sz w:val="24"/>
        </w:rPr>
        <w:t>Zastupitelstvo města Prostějova</w:t>
      </w:r>
    </w:p>
    <w:p w:rsidR="00F65C1F" w:rsidRPr="0085439C" w:rsidRDefault="00F65C1F" w:rsidP="00F65C1F">
      <w:pPr>
        <w:suppressAutoHyphens/>
        <w:rPr>
          <w:rFonts w:ascii="Arial" w:hAnsi="Arial" w:cs="Arial"/>
          <w:b/>
          <w:sz w:val="24"/>
        </w:rPr>
      </w:pPr>
      <w:r w:rsidRPr="0085439C">
        <w:rPr>
          <w:rFonts w:ascii="Arial" w:hAnsi="Arial" w:cs="Arial"/>
          <w:b/>
          <w:sz w:val="24"/>
        </w:rPr>
        <w:t xml:space="preserve">s c h v a l u j e </w:t>
      </w:r>
    </w:p>
    <w:p w:rsidR="00F65C1F" w:rsidRPr="0085439C" w:rsidRDefault="00F65C1F" w:rsidP="00F65C1F">
      <w:pPr>
        <w:suppressAutoHyphens/>
        <w:rPr>
          <w:rFonts w:ascii="Arial" w:hAnsi="Arial" w:cs="Arial"/>
          <w:b/>
          <w:sz w:val="24"/>
        </w:rPr>
      </w:pPr>
      <w:proofErr w:type="gramStart"/>
      <w:r w:rsidRPr="0085439C">
        <w:rPr>
          <w:rFonts w:ascii="Arial" w:hAnsi="Arial" w:cs="Arial"/>
          <w:b/>
          <w:sz w:val="24"/>
        </w:rPr>
        <w:t>rozpočtové</w:t>
      </w:r>
      <w:proofErr w:type="gramEnd"/>
      <w:r w:rsidRPr="0085439C">
        <w:rPr>
          <w:rFonts w:ascii="Arial" w:hAnsi="Arial" w:cs="Arial"/>
          <w:b/>
          <w:sz w:val="24"/>
        </w:rPr>
        <w:t xml:space="preserve"> opatření, kterým </w:t>
      </w:r>
      <w:proofErr w:type="gramStart"/>
      <w:r w:rsidRPr="0085439C">
        <w:rPr>
          <w:rFonts w:ascii="Arial" w:hAnsi="Arial" w:cs="Arial"/>
          <w:b/>
          <w:sz w:val="24"/>
        </w:rPr>
        <w:t>se</w:t>
      </w:r>
      <w:proofErr w:type="gramEnd"/>
    </w:p>
    <w:p w:rsidR="005E3B23" w:rsidRPr="004F5CB0" w:rsidRDefault="005E3B23" w:rsidP="005E3B23">
      <w:pPr>
        <w:suppressAutoHyphens/>
        <w:rPr>
          <w:rFonts w:ascii="Arial" w:eastAsia="Calibri" w:hAnsi="Arial" w:cs="Arial"/>
          <w:b/>
          <w:sz w:val="24"/>
        </w:rPr>
      </w:pPr>
    </w:p>
    <w:p w:rsidR="005E3B23" w:rsidRPr="009940CD" w:rsidRDefault="005E3B23" w:rsidP="009940CD">
      <w:pPr>
        <w:pStyle w:val="Odstavecseseznamem"/>
        <w:numPr>
          <w:ilvl w:val="0"/>
          <w:numId w:val="8"/>
        </w:numPr>
        <w:suppressAutoHyphens/>
        <w:ind w:left="284" w:hanging="284"/>
        <w:rPr>
          <w:rFonts w:ascii="Arial" w:hAnsi="Arial" w:cs="Arial"/>
          <w:b/>
        </w:rPr>
      </w:pPr>
      <w:r w:rsidRPr="009940CD">
        <w:rPr>
          <w:rFonts w:ascii="Arial" w:hAnsi="Arial" w:cs="Arial"/>
          <w:b/>
          <w:bCs/>
        </w:rPr>
        <w:t>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5E3B23" w:rsidRPr="004F5CB0" w:rsidTr="002628C2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23" w:rsidRPr="004F5CB0" w:rsidRDefault="005E3B23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23" w:rsidRPr="004F5CB0" w:rsidRDefault="005E3B23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23" w:rsidRPr="004F5CB0" w:rsidRDefault="005E3B23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23" w:rsidRPr="004F5CB0" w:rsidRDefault="005E3B23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23" w:rsidRPr="004F5CB0" w:rsidRDefault="005E3B23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23" w:rsidRPr="004F5CB0" w:rsidRDefault="005E3B23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B23" w:rsidRPr="004F5CB0" w:rsidRDefault="005E3B23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5E3B23" w:rsidRPr="004F5CB0" w:rsidTr="002628C2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23" w:rsidRPr="00687762" w:rsidRDefault="005E3B23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87762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23" w:rsidRPr="00687762" w:rsidRDefault="006C41BB" w:rsidP="002628C2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23" w:rsidRPr="00687762" w:rsidRDefault="005E3B23" w:rsidP="002628C2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687762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23" w:rsidRPr="00687762" w:rsidRDefault="005E3B23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23" w:rsidRPr="00687762" w:rsidRDefault="00687762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87762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23" w:rsidRPr="00687762" w:rsidRDefault="000054F9" w:rsidP="002628C2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87762">
              <w:rPr>
                <w:rFonts w:ascii="Arial" w:eastAsia="Calibri" w:hAnsi="Arial" w:cs="Arial"/>
                <w:b/>
                <w:bCs/>
                <w:sz w:val="24"/>
              </w:rPr>
              <w:t>0600669000000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23" w:rsidRPr="004F5CB0" w:rsidRDefault="000054F9" w:rsidP="00830DAC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687762">
              <w:rPr>
                <w:rFonts w:ascii="Arial" w:eastAsia="Calibri" w:hAnsi="Arial" w:cs="Arial"/>
                <w:b/>
                <w:bCs/>
                <w:sz w:val="24"/>
              </w:rPr>
              <w:t>2</w:t>
            </w:r>
            <w:r w:rsidR="00830DAC">
              <w:rPr>
                <w:rFonts w:ascii="Arial" w:eastAsia="Calibri" w:hAnsi="Arial" w:cs="Arial"/>
                <w:b/>
                <w:bCs/>
                <w:sz w:val="24"/>
              </w:rPr>
              <w:t>.233.000</w:t>
            </w:r>
          </w:p>
        </w:tc>
      </w:tr>
      <w:tr w:rsidR="005E3B23" w:rsidRPr="004F5CB0" w:rsidTr="002628C2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23" w:rsidRPr="0045147C" w:rsidRDefault="005E3B23" w:rsidP="005E3B23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5147C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6121 – budovy, haly, stavby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–</w:t>
            </w:r>
            <w:r w:rsidRPr="0045147C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0054F9" w:rsidRPr="000054F9">
              <w:rPr>
                <w:rFonts w:ascii="Arial" w:hAnsi="Arial" w:cs="Arial"/>
                <w:b/>
                <w:sz w:val="24"/>
              </w:rPr>
              <w:t>Veřejné prostranství u ZŠ Husova</w:t>
            </w:r>
          </w:p>
        </w:tc>
      </w:tr>
      <w:tr w:rsidR="00830DAC" w:rsidRPr="00830DAC" w:rsidTr="00183B76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AC" w:rsidRPr="00830DAC" w:rsidRDefault="00830DAC" w:rsidP="00830DA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30DAC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AC" w:rsidRPr="00830DAC" w:rsidRDefault="006C41BB" w:rsidP="00830DAC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AC" w:rsidRPr="00830DAC" w:rsidRDefault="00830DAC" w:rsidP="00830DAC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5169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AC" w:rsidRPr="00830DAC" w:rsidRDefault="00830DAC" w:rsidP="00830DA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AC" w:rsidRPr="00830DAC" w:rsidRDefault="00830DAC" w:rsidP="00830DA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30DAC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AC" w:rsidRPr="00830DAC" w:rsidRDefault="00830DAC" w:rsidP="00830DA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30DAC">
              <w:rPr>
                <w:rFonts w:ascii="Arial" w:eastAsia="Calibri" w:hAnsi="Arial" w:cs="Arial"/>
                <w:b/>
                <w:bCs/>
                <w:sz w:val="24"/>
              </w:rPr>
              <w:t>0600669000000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AC" w:rsidRPr="00830DAC" w:rsidRDefault="00830DAC" w:rsidP="00830DAC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667 000</w:t>
            </w:r>
          </w:p>
        </w:tc>
      </w:tr>
      <w:tr w:rsidR="00830DAC" w:rsidRPr="00830DAC" w:rsidTr="00183B76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AC" w:rsidRPr="00830DAC" w:rsidRDefault="00830DAC" w:rsidP="00830DAC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30DAC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5169 – nákup služeb</w:t>
            </w:r>
            <w:r w:rsidRPr="00830DAC">
              <w:rPr>
                <w:rFonts w:ascii="Arial" w:eastAsia="Calibri" w:hAnsi="Arial" w:cs="Arial"/>
                <w:b/>
                <w:bCs/>
                <w:sz w:val="24"/>
              </w:rPr>
              <w:t xml:space="preserve"> – </w:t>
            </w:r>
            <w:r w:rsidRPr="00830DAC">
              <w:rPr>
                <w:rFonts w:ascii="Arial" w:eastAsia="Calibri" w:hAnsi="Arial" w:cs="Arial"/>
                <w:b/>
                <w:sz w:val="24"/>
              </w:rPr>
              <w:t>Veřejné prostranství u ZŠ Husova</w:t>
            </w:r>
            <w:r>
              <w:rPr>
                <w:rFonts w:ascii="Arial" w:eastAsia="Calibri" w:hAnsi="Arial" w:cs="Arial"/>
                <w:b/>
                <w:sz w:val="24"/>
              </w:rPr>
              <w:t xml:space="preserve"> (sadové úpravy)</w:t>
            </w:r>
          </w:p>
        </w:tc>
      </w:tr>
    </w:tbl>
    <w:p w:rsidR="00687762" w:rsidRPr="004F5CB0" w:rsidRDefault="00687762" w:rsidP="00687762">
      <w:pPr>
        <w:suppressAutoHyphens/>
        <w:rPr>
          <w:rFonts w:ascii="Arial" w:eastAsia="Calibri" w:hAnsi="Arial" w:cs="Arial"/>
          <w:b/>
          <w:bCs/>
          <w:sz w:val="24"/>
        </w:rPr>
      </w:pPr>
      <w:r w:rsidRPr="004F5CB0">
        <w:rPr>
          <w:rFonts w:ascii="Arial" w:eastAsia="Calibri" w:hAnsi="Arial" w:cs="Arial"/>
          <w:b/>
          <w:sz w:val="24"/>
        </w:rPr>
        <w:t xml:space="preserve">2. </w:t>
      </w:r>
      <w:r w:rsidRPr="004F5CB0">
        <w:rPr>
          <w:rFonts w:ascii="Arial" w:eastAsia="Calibri" w:hAnsi="Arial" w:cs="Arial"/>
          <w:b/>
          <w:bCs/>
          <w:sz w:val="24"/>
        </w:rPr>
        <w:t xml:space="preserve">snižuje </w:t>
      </w:r>
      <w:r>
        <w:rPr>
          <w:rFonts w:ascii="Arial" w:eastAsia="Calibri" w:hAnsi="Arial" w:cs="Arial"/>
          <w:b/>
          <w:bCs/>
          <w:sz w:val="24"/>
        </w:rPr>
        <w:t>stav rezerv města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687762" w:rsidRPr="004F5CB0" w:rsidTr="00C81E21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687762" w:rsidRPr="004F5CB0" w:rsidTr="00C81E21">
        <w:trPr>
          <w:cantSplit/>
          <w:trHeight w:val="1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2" w:rsidRPr="004F5CB0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2" w:rsidRPr="004F5CB0" w:rsidRDefault="00687762" w:rsidP="00C81E21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2.900.000</w:t>
            </w:r>
          </w:p>
        </w:tc>
      </w:tr>
      <w:tr w:rsidR="00687762" w:rsidRPr="004F5CB0" w:rsidTr="00C81E21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62" w:rsidRPr="00907F94" w:rsidRDefault="00687762" w:rsidP="00C81E2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60180D">
              <w:rPr>
                <w:rFonts w:ascii="Arial" w:hAnsi="Arial" w:cs="Arial"/>
                <w:b/>
                <w:bCs/>
                <w:sz w:val="24"/>
              </w:rPr>
              <w:t xml:space="preserve">Snížení </w:t>
            </w:r>
            <w:r>
              <w:rPr>
                <w:rFonts w:ascii="Arial" w:hAnsi="Arial" w:cs="Arial"/>
                <w:b/>
                <w:bCs/>
                <w:sz w:val="24"/>
              </w:rPr>
              <w:t>položky 8115 – Fond rezerv a rozvoje</w:t>
            </w:r>
          </w:p>
        </w:tc>
      </w:tr>
    </w:tbl>
    <w:p w:rsidR="005E3B23" w:rsidRPr="005E3B23" w:rsidRDefault="005E3B23" w:rsidP="00551B4E">
      <w:pPr>
        <w:suppressAutoHyphens/>
        <w:ind w:right="686"/>
        <w:jc w:val="both"/>
        <w:rPr>
          <w:rFonts w:ascii="Arial" w:hAnsi="Arial" w:cs="Arial"/>
          <w:b/>
          <w:bCs/>
          <w:sz w:val="22"/>
          <w:szCs w:val="22"/>
        </w:rPr>
      </w:pPr>
    </w:p>
    <w:p w:rsidR="005E3B23" w:rsidRDefault="005E3B23" w:rsidP="00943F7F">
      <w:pPr>
        <w:suppressAutoHyphens/>
        <w:ind w:right="686"/>
        <w:jc w:val="both"/>
        <w:rPr>
          <w:rFonts w:ascii="Arial" w:hAnsi="Arial" w:cs="Arial"/>
          <w:bCs/>
          <w:sz w:val="22"/>
          <w:szCs w:val="22"/>
        </w:rPr>
      </w:pPr>
    </w:p>
    <w:p w:rsidR="00687762" w:rsidRDefault="00687762" w:rsidP="00943F7F">
      <w:pPr>
        <w:suppressAutoHyphens/>
        <w:ind w:right="686"/>
        <w:jc w:val="both"/>
        <w:rPr>
          <w:rFonts w:ascii="Arial" w:hAnsi="Arial" w:cs="Arial"/>
          <w:bCs/>
          <w:sz w:val="22"/>
          <w:szCs w:val="22"/>
        </w:rPr>
      </w:pPr>
    </w:p>
    <w:p w:rsidR="00687762" w:rsidRDefault="00687762" w:rsidP="00943F7F">
      <w:pPr>
        <w:suppressAutoHyphens/>
        <w:ind w:right="686"/>
        <w:jc w:val="both"/>
        <w:rPr>
          <w:rFonts w:ascii="Arial" w:hAnsi="Arial" w:cs="Arial"/>
          <w:bCs/>
          <w:sz w:val="22"/>
          <w:szCs w:val="22"/>
        </w:rPr>
      </w:pPr>
    </w:p>
    <w:p w:rsidR="00687762" w:rsidRDefault="00687762" w:rsidP="00943F7F">
      <w:pPr>
        <w:suppressAutoHyphens/>
        <w:ind w:right="686"/>
        <w:jc w:val="both"/>
        <w:rPr>
          <w:rFonts w:ascii="Arial" w:hAnsi="Arial" w:cs="Arial"/>
          <w:bCs/>
          <w:sz w:val="22"/>
          <w:szCs w:val="22"/>
        </w:rPr>
      </w:pPr>
    </w:p>
    <w:p w:rsidR="00F65C1F" w:rsidRDefault="00F65C1F" w:rsidP="00943F7F">
      <w:pPr>
        <w:suppressAutoHyphens/>
        <w:ind w:right="686"/>
        <w:jc w:val="both"/>
        <w:rPr>
          <w:rFonts w:ascii="Arial" w:hAnsi="Arial" w:cs="Arial"/>
          <w:bCs/>
          <w:sz w:val="22"/>
          <w:szCs w:val="22"/>
        </w:rPr>
      </w:pPr>
    </w:p>
    <w:p w:rsidR="00F65C1F" w:rsidRDefault="00F65C1F" w:rsidP="00943F7F">
      <w:pPr>
        <w:suppressAutoHyphens/>
        <w:ind w:right="686"/>
        <w:jc w:val="both"/>
        <w:rPr>
          <w:rFonts w:ascii="Arial" w:hAnsi="Arial" w:cs="Arial"/>
          <w:bCs/>
          <w:sz w:val="22"/>
          <w:szCs w:val="22"/>
        </w:rPr>
      </w:pPr>
    </w:p>
    <w:p w:rsidR="00F65C1F" w:rsidRDefault="00F65C1F" w:rsidP="00943F7F">
      <w:pPr>
        <w:suppressAutoHyphens/>
        <w:ind w:right="686"/>
        <w:jc w:val="both"/>
        <w:rPr>
          <w:rFonts w:ascii="Arial" w:hAnsi="Arial" w:cs="Arial"/>
          <w:bCs/>
          <w:sz w:val="22"/>
          <w:szCs w:val="22"/>
        </w:rPr>
      </w:pPr>
    </w:p>
    <w:p w:rsidR="00687762" w:rsidRDefault="00687762" w:rsidP="00943F7F">
      <w:pPr>
        <w:suppressAutoHyphens/>
        <w:ind w:right="686"/>
        <w:jc w:val="both"/>
        <w:rPr>
          <w:rFonts w:ascii="Arial" w:hAnsi="Arial" w:cs="Arial"/>
          <w:bCs/>
          <w:sz w:val="22"/>
          <w:szCs w:val="22"/>
        </w:rPr>
      </w:pPr>
    </w:p>
    <w:p w:rsidR="00687762" w:rsidRDefault="00687762" w:rsidP="00943F7F">
      <w:pPr>
        <w:suppressAutoHyphens/>
        <w:ind w:right="686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598"/>
        <w:gridCol w:w="1799"/>
        <w:gridCol w:w="1799"/>
      </w:tblGrid>
      <w:tr w:rsidR="004F5CB0" w:rsidRPr="004F5CB0" w:rsidTr="00687762">
        <w:tc>
          <w:tcPr>
            <w:tcW w:w="9719" w:type="dxa"/>
            <w:gridSpan w:val="4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4F5CB0" w:rsidRPr="004F5CB0" w:rsidTr="00687762">
        <w:trPr>
          <w:trHeight w:val="497"/>
        </w:trPr>
        <w:tc>
          <w:tcPr>
            <w:tcW w:w="2523" w:type="dxa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5B4D13" w:rsidRDefault="005F721A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  <w:r w:rsidR="00D66DC5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  <w:r w:rsidR="0065675C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B0D68" w:rsidRPr="009362C3" w:rsidRDefault="009362C3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4F5CB0" w:rsidRPr="004F5CB0" w:rsidTr="00687762">
        <w:trPr>
          <w:trHeight w:val="405"/>
        </w:trPr>
        <w:tc>
          <w:tcPr>
            <w:tcW w:w="2523" w:type="dxa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F5CB0" w:rsidRPr="00D268B3" w:rsidRDefault="004F5CB0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bookmarkStart w:id="0" w:name="_GoBack"/>
            <w:bookmarkEnd w:id="0"/>
            <w:r w:rsidR="00D66DC5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</w:p>
          <w:p w:rsidR="004F5CB0" w:rsidRPr="004F5CB0" w:rsidRDefault="009362C3" w:rsidP="00655BA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="004F5CB0"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="004F5CB0"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4F5CB0" w:rsidRPr="004F5CB0" w:rsidTr="00F65C1F">
        <w:trPr>
          <w:trHeight w:val="509"/>
        </w:trPr>
        <w:tc>
          <w:tcPr>
            <w:tcW w:w="2523" w:type="dxa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1C30" w:rsidRPr="00D268B3" w:rsidRDefault="004F5CB0" w:rsidP="00F65C1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 w:rsidR="00D66DC5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  <w:r w:rsidR="0065675C">
              <w:rPr>
                <w:rFonts w:ascii="Arial" w:hAnsi="Arial" w:cs="Arial"/>
                <w:bCs/>
                <w:i/>
                <w:szCs w:val="20"/>
              </w:rPr>
              <w:t xml:space="preserve">  </w:t>
            </w:r>
          </w:p>
          <w:p w:rsidR="008608EE" w:rsidRPr="004F5CB0" w:rsidRDefault="004F5CB0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1F6CF9" w:rsidRDefault="004F5CB0" w:rsidP="00010360">
      <w:pPr>
        <w:rPr>
          <w:rFonts w:ascii="Arial" w:hAnsi="Arial" w:cs="Arial"/>
          <w:b/>
          <w:sz w:val="24"/>
          <w:u w:val="single"/>
        </w:rPr>
      </w:pPr>
      <w:r w:rsidRPr="004F5CB0">
        <w:rPr>
          <w:rFonts w:ascii="Arial" w:hAnsi="Arial" w:cs="Arial"/>
          <w:b/>
          <w:sz w:val="24"/>
          <w:u w:val="single"/>
        </w:rPr>
        <w:br w:type="page"/>
      </w:r>
    </w:p>
    <w:p w:rsidR="001F6CF9" w:rsidRDefault="001F6CF9" w:rsidP="00010360">
      <w:pPr>
        <w:rPr>
          <w:rFonts w:ascii="Arial" w:hAnsi="Arial" w:cs="Arial"/>
          <w:b/>
          <w:sz w:val="24"/>
          <w:u w:val="single"/>
        </w:rPr>
      </w:pPr>
    </w:p>
    <w:p w:rsidR="001F6CF9" w:rsidRDefault="001F6CF9" w:rsidP="00010360">
      <w:pPr>
        <w:rPr>
          <w:rFonts w:ascii="Arial" w:hAnsi="Arial" w:cs="Arial"/>
          <w:b/>
          <w:sz w:val="24"/>
          <w:u w:val="single"/>
        </w:rPr>
      </w:pPr>
    </w:p>
    <w:p w:rsidR="009362C3" w:rsidRP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054F9" w:rsidRPr="0087439A" w:rsidRDefault="000054F9" w:rsidP="000054F9">
      <w:pPr>
        <w:rPr>
          <w:rFonts w:ascii="Arial" w:hAnsi="Arial" w:cs="Arial"/>
          <w:i/>
          <w:sz w:val="24"/>
        </w:rPr>
      </w:pPr>
      <w:r w:rsidRPr="0087439A">
        <w:rPr>
          <w:rFonts w:ascii="Arial" w:hAnsi="Arial" w:cs="Arial"/>
          <w:i/>
          <w:sz w:val="24"/>
        </w:rPr>
        <w:t>Předkládané rozpočtové opatření má vliv na rozpočet města.</w:t>
      </w:r>
    </w:p>
    <w:p w:rsidR="000054F9" w:rsidRPr="0087439A" w:rsidRDefault="000054F9" w:rsidP="000054F9">
      <w:pPr>
        <w:rPr>
          <w:rFonts w:ascii="Arial" w:hAnsi="Arial" w:cs="Arial"/>
          <w:i/>
          <w:sz w:val="24"/>
        </w:rPr>
      </w:pPr>
      <w:r w:rsidRPr="0087439A">
        <w:rPr>
          <w:rFonts w:ascii="Arial" w:hAnsi="Arial" w:cs="Arial"/>
          <w:i/>
          <w:sz w:val="24"/>
        </w:rPr>
        <w:t>Dojde k</w:t>
      </w:r>
      <w:r>
        <w:rPr>
          <w:rFonts w:ascii="Arial" w:hAnsi="Arial" w:cs="Arial"/>
          <w:i/>
          <w:sz w:val="24"/>
        </w:rPr>
        <w:t xml:space="preserve">e snížení </w:t>
      </w:r>
      <w:r w:rsidR="00687762" w:rsidRPr="0087439A">
        <w:rPr>
          <w:rFonts w:ascii="Arial" w:hAnsi="Arial" w:cs="Arial"/>
          <w:i/>
          <w:sz w:val="24"/>
        </w:rPr>
        <w:t>Fondu rezerv a rozvoje</w:t>
      </w:r>
      <w:r w:rsidR="00687762">
        <w:rPr>
          <w:rFonts w:ascii="Arial" w:hAnsi="Arial" w:cs="Arial"/>
          <w:i/>
          <w:sz w:val="24"/>
        </w:rPr>
        <w:t xml:space="preserve"> </w:t>
      </w:r>
      <w:r w:rsidR="00F65C1F">
        <w:rPr>
          <w:rFonts w:ascii="Arial" w:hAnsi="Arial" w:cs="Arial"/>
          <w:i/>
          <w:sz w:val="24"/>
        </w:rPr>
        <w:t>o částku 2.</w:t>
      </w:r>
      <w:r>
        <w:rPr>
          <w:rFonts w:ascii="Arial" w:hAnsi="Arial" w:cs="Arial"/>
          <w:i/>
          <w:sz w:val="24"/>
        </w:rPr>
        <w:t>900</w:t>
      </w:r>
      <w:r w:rsidRPr="0087439A">
        <w:rPr>
          <w:rFonts w:ascii="Arial" w:hAnsi="Arial" w:cs="Arial"/>
          <w:i/>
          <w:sz w:val="24"/>
        </w:rPr>
        <w:t>.000,-- Kč.</w:t>
      </w:r>
    </w:p>
    <w:p w:rsidR="000054F9" w:rsidRDefault="000054F9" w:rsidP="000054F9">
      <w:pPr>
        <w:rPr>
          <w:rFonts w:ascii="Arial" w:hAnsi="Arial" w:cs="Arial"/>
          <w:i/>
          <w:sz w:val="24"/>
        </w:rPr>
      </w:pPr>
    </w:p>
    <w:p w:rsidR="00687762" w:rsidRPr="00687762" w:rsidRDefault="00687762" w:rsidP="00687762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9362C3">
        <w:rPr>
          <w:rFonts w:ascii="Arial" w:hAnsi="Arial" w:cs="Arial"/>
          <w:i/>
          <w:sz w:val="24"/>
        </w:rPr>
        <w:t>Odbor rozvo</w:t>
      </w:r>
      <w:r>
        <w:rPr>
          <w:rFonts w:ascii="Arial" w:hAnsi="Arial" w:cs="Arial"/>
          <w:i/>
          <w:sz w:val="24"/>
        </w:rPr>
        <w:t>je a investic (dále jen ORI</w:t>
      </w:r>
      <w:r w:rsidRPr="009362C3">
        <w:rPr>
          <w:rFonts w:ascii="Arial" w:hAnsi="Arial" w:cs="Arial"/>
          <w:i/>
          <w:sz w:val="24"/>
        </w:rPr>
        <w:t xml:space="preserve">) předkládá </w:t>
      </w:r>
      <w:r>
        <w:rPr>
          <w:rFonts w:ascii="Arial" w:hAnsi="Arial" w:cs="Arial"/>
          <w:i/>
          <w:sz w:val="24"/>
        </w:rPr>
        <w:t xml:space="preserve">toto ROZOP na základě úkolu z 21. porady primátora, konané dne </w:t>
      </w:r>
      <w:proofErr w:type="gramStart"/>
      <w:r>
        <w:rPr>
          <w:rFonts w:ascii="Arial" w:hAnsi="Arial" w:cs="Arial"/>
          <w:i/>
          <w:sz w:val="24"/>
        </w:rPr>
        <w:t>01.06.2021</w:t>
      </w:r>
      <w:proofErr w:type="gramEnd"/>
      <w:r>
        <w:rPr>
          <w:rFonts w:ascii="Arial" w:hAnsi="Arial" w:cs="Arial"/>
          <w:i/>
          <w:sz w:val="24"/>
        </w:rPr>
        <w:t xml:space="preserve">, </w:t>
      </w:r>
      <w:r w:rsidRPr="009362C3">
        <w:rPr>
          <w:rFonts w:ascii="Arial" w:hAnsi="Arial" w:cs="Arial"/>
          <w:i/>
          <w:sz w:val="24"/>
        </w:rPr>
        <w:t xml:space="preserve">ke schválení </w:t>
      </w:r>
      <w:r>
        <w:rPr>
          <w:rFonts w:ascii="Arial" w:hAnsi="Arial" w:cs="Arial"/>
          <w:i/>
          <w:sz w:val="24"/>
        </w:rPr>
        <w:t xml:space="preserve">chybějících finančních prostředků na akci </w:t>
      </w:r>
      <w:r w:rsidRPr="00687762">
        <w:rPr>
          <w:rFonts w:ascii="Arial" w:hAnsi="Arial" w:cs="Arial"/>
          <w:i/>
          <w:sz w:val="24"/>
        </w:rPr>
        <w:t>– Veřejné prostranství u ZŠ Husova</w:t>
      </w:r>
      <w:r>
        <w:rPr>
          <w:rFonts w:ascii="Arial" w:hAnsi="Arial" w:cs="Arial"/>
          <w:i/>
          <w:sz w:val="24"/>
        </w:rPr>
        <w:t>.</w:t>
      </w:r>
    </w:p>
    <w:p w:rsidR="00687762" w:rsidRPr="00687762" w:rsidRDefault="00687762" w:rsidP="00687762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  <w:r w:rsidRPr="00D5249A">
        <w:rPr>
          <w:rFonts w:ascii="Arial" w:hAnsi="Arial" w:cs="Arial"/>
          <w:bCs/>
          <w:i/>
          <w:sz w:val="24"/>
        </w:rPr>
        <w:t xml:space="preserve">Na výše uvedenou akci byla zpracována projektová dokumentace pro provádění stavby (DPS), zpracovatelem je ing. Hana </w:t>
      </w:r>
      <w:proofErr w:type="spellStart"/>
      <w:r w:rsidRPr="00D5249A">
        <w:rPr>
          <w:rFonts w:ascii="Arial" w:hAnsi="Arial" w:cs="Arial"/>
          <w:bCs/>
          <w:i/>
          <w:sz w:val="24"/>
        </w:rPr>
        <w:t>Bělařová</w:t>
      </w:r>
      <w:proofErr w:type="spellEnd"/>
      <w:r w:rsidRPr="00D5249A">
        <w:rPr>
          <w:rFonts w:ascii="Arial" w:hAnsi="Arial" w:cs="Arial"/>
          <w:bCs/>
          <w:i/>
          <w:sz w:val="24"/>
        </w:rPr>
        <w:t xml:space="preserve">. Dokumentace obsahuje objekty SO 01 Příprava, SO 02 Zpevněné plochy, SO 03 Sadové úpravy, SO 04 Mobiliář (sedací schody, dřevěná pergolová konstrukce – galerie, </w:t>
      </w:r>
      <w:proofErr w:type="spellStart"/>
      <w:r w:rsidRPr="00D5249A">
        <w:rPr>
          <w:rFonts w:ascii="Arial" w:hAnsi="Arial" w:cs="Arial"/>
          <w:bCs/>
          <w:i/>
          <w:sz w:val="24"/>
        </w:rPr>
        <w:t>plťový</w:t>
      </w:r>
      <w:proofErr w:type="spellEnd"/>
      <w:r w:rsidRPr="00D5249A">
        <w:rPr>
          <w:rFonts w:ascii="Arial" w:hAnsi="Arial" w:cs="Arial"/>
          <w:bCs/>
          <w:i/>
          <w:sz w:val="24"/>
        </w:rPr>
        <w:t xml:space="preserve"> chodník – molo, stojany na kola a odpadkové koše). </w:t>
      </w:r>
    </w:p>
    <w:p w:rsidR="000054F9" w:rsidRPr="00687762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/>
          <w:bCs/>
          <w:i/>
          <w:sz w:val="24"/>
        </w:rPr>
      </w:pPr>
      <w:r w:rsidRPr="00687762">
        <w:rPr>
          <w:rFonts w:ascii="Arial" w:hAnsi="Arial" w:cs="Arial"/>
          <w:b/>
          <w:bCs/>
          <w:i/>
          <w:sz w:val="24"/>
        </w:rPr>
        <w:t xml:space="preserve">Rozpočet této části </w:t>
      </w:r>
      <w:r w:rsidR="00687762" w:rsidRPr="00687762">
        <w:rPr>
          <w:rFonts w:ascii="Arial" w:hAnsi="Arial" w:cs="Arial"/>
          <w:b/>
          <w:bCs/>
          <w:i/>
          <w:sz w:val="24"/>
        </w:rPr>
        <w:t>činí</w:t>
      </w:r>
      <w:r w:rsidRPr="00687762">
        <w:rPr>
          <w:rFonts w:ascii="Arial" w:hAnsi="Arial" w:cs="Arial"/>
          <w:b/>
          <w:bCs/>
          <w:i/>
          <w:sz w:val="24"/>
        </w:rPr>
        <w:t xml:space="preserve"> 2.167</w:t>
      </w:r>
      <w:r w:rsidR="00F65C1F">
        <w:rPr>
          <w:rFonts w:ascii="Arial" w:hAnsi="Arial" w:cs="Arial"/>
          <w:b/>
          <w:bCs/>
          <w:i/>
          <w:sz w:val="24"/>
        </w:rPr>
        <w:t>.</w:t>
      </w:r>
      <w:r w:rsidRPr="00687762">
        <w:rPr>
          <w:rFonts w:ascii="Arial" w:hAnsi="Arial" w:cs="Arial"/>
          <w:b/>
          <w:bCs/>
          <w:i/>
          <w:sz w:val="24"/>
        </w:rPr>
        <w:t>873,92 Kč vč. DPH.</w:t>
      </w: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  <w:r w:rsidRPr="00D5249A">
        <w:rPr>
          <w:rFonts w:ascii="Arial" w:hAnsi="Arial" w:cs="Arial"/>
          <w:bCs/>
          <w:i/>
          <w:sz w:val="24"/>
        </w:rPr>
        <w:t xml:space="preserve">Z toho: SO 01 384 334,54 Kč; SO 02 584 638,00 Kč; SO 03 666 875,56 Kč; </w:t>
      </w: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  <w:r w:rsidRPr="00D5249A">
        <w:rPr>
          <w:rFonts w:ascii="Arial" w:hAnsi="Arial" w:cs="Arial"/>
          <w:bCs/>
          <w:i/>
          <w:sz w:val="24"/>
        </w:rPr>
        <w:t>SO 04 532 025,82 Kč</w:t>
      </w: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</w:p>
    <w:p w:rsidR="00687762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  <w:r w:rsidRPr="00D5249A">
        <w:rPr>
          <w:rFonts w:ascii="Arial" w:hAnsi="Arial" w:cs="Arial"/>
          <w:bCs/>
          <w:i/>
          <w:sz w:val="24"/>
        </w:rPr>
        <w:t xml:space="preserve">Porada primátora ze dne </w:t>
      </w:r>
      <w:proofErr w:type="gramStart"/>
      <w:r w:rsidRPr="00D5249A">
        <w:rPr>
          <w:rFonts w:ascii="Arial" w:hAnsi="Arial" w:cs="Arial"/>
          <w:bCs/>
          <w:i/>
          <w:sz w:val="24"/>
        </w:rPr>
        <w:t>10.</w:t>
      </w:r>
      <w:r w:rsidR="00687762">
        <w:rPr>
          <w:rFonts w:ascii="Arial" w:hAnsi="Arial" w:cs="Arial"/>
          <w:bCs/>
          <w:i/>
          <w:sz w:val="24"/>
        </w:rPr>
        <w:t>0</w:t>
      </w:r>
      <w:r w:rsidRPr="00D5249A">
        <w:rPr>
          <w:rFonts w:ascii="Arial" w:hAnsi="Arial" w:cs="Arial"/>
          <w:bCs/>
          <w:i/>
          <w:sz w:val="24"/>
        </w:rPr>
        <w:t>8.2020</w:t>
      </w:r>
      <w:proofErr w:type="gramEnd"/>
      <w:r w:rsidRPr="00D5249A">
        <w:rPr>
          <w:rFonts w:ascii="Arial" w:hAnsi="Arial" w:cs="Arial"/>
          <w:bCs/>
          <w:i/>
          <w:sz w:val="24"/>
        </w:rPr>
        <w:t xml:space="preserve"> rozhodla o rozšíření akce o požadavek na hospodaření </w:t>
      </w: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  <w:r w:rsidRPr="00D5249A">
        <w:rPr>
          <w:rFonts w:ascii="Arial" w:hAnsi="Arial" w:cs="Arial"/>
          <w:bCs/>
          <w:i/>
          <w:sz w:val="24"/>
        </w:rPr>
        <w:t xml:space="preserve">s dešťovou vodou s následným využíváním pro závlahu nového trávníku květinových záhonů, stromů a požadavek na zřízení nového přípojného místa el. </w:t>
      </w:r>
      <w:proofErr w:type="gramStart"/>
      <w:r w:rsidRPr="00D5249A">
        <w:rPr>
          <w:rFonts w:ascii="Arial" w:hAnsi="Arial" w:cs="Arial"/>
          <w:bCs/>
          <w:i/>
          <w:sz w:val="24"/>
        </w:rPr>
        <w:t>energie</w:t>
      </w:r>
      <w:proofErr w:type="gramEnd"/>
      <w:r w:rsidRPr="00D5249A">
        <w:rPr>
          <w:rFonts w:ascii="Arial" w:hAnsi="Arial" w:cs="Arial"/>
          <w:bCs/>
          <w:i/>
          <w:sz w:val="24"/>
        </w:rPr>
        <w:t xml:space="preserve"> potřebné pro technologii závlahy, osvětlení venkovní galerie a pro konání kulturních akcí jako vystoupení, výstavy, představení apod.</w:t>
      </w: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  <w:r w:rsidRPr="00D5249A">
        <w:rPr>
          <w:rFonts w:ascii="Arial" w:hAnsi="Arial" w:cs="Arial"/>
          <w:bCs/>
          <w:i/>
          <w:sz w:val="24"/>
        </w:rPr>
        <w:t xml:space="preserve">Na základě tohoto rozhodnutí byla zpracována projektová dokumentace „Vsakování a nakládání s dešťovými vodami“. Dokumentace obsahuje objekty SO 001 - Kanalizační potrubí a přípojky, SO 002 – Objekty (šachta, akumulační nádrž), SO 003 - Automatický závlahový systém. </w:t>
      </w:r>
    </w:p>
    <w:p w:rsidR="000054F9" w:rsidRPr="00687762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/>
          <w:bCs/>
          <w:i/>
          <w:sz w:val="24"/>
        </w:rPr>
      </w:pPr>
      <w:r w:rsidRPr="00687762">
        <w:rPr>
          <w:rFonts w:ascii="Arial" w:hAnsi="Arial" w:cs="Arial"/>
          <w:b/>
          <w:bCs/>
          <w:i/>
          <w:sz w:val="24"/>
        </w:rPr>
        <w:t xml:space="preserve">Rozpočet této části </w:t>
      </w:r>
      <w:r w:rsidR="00687762" w:rsidRPr="00687762">
        <w:rPr>
          <w:rFonts w:ascii="Arial" w:hAnsi="Arial" w:cs="Arial"/>
          <w:b/>
          <w:bCs/>
          <w:i/>
          <w:sz w:val="24"/>
        </w:rPr>
        <w:t>činí</w:t>
      </w:r>
      <w:r w:rsidR="00F65C1F">
        <w:rPr>
          <w:rFonts w:ascii="Arial" w:hAnsi="Arial" w:cs="Arial"/>
          <w:b/>
          <w:bCs/>
          <w:i/>
          <w:sz w:val="24"/>
        </w:rPr>
        <w:t xml:space="preserve"> 1.448.</w:t>
      </w:r>
      <w:r w:rsidRPr="00687762">
        <w:rPr>
          <w:rFonts w:ascii="Arial" w:hAnsi="Arial" w:cs="Arial"/>
          <w:b/>
          <w:bCs/>
          <w:i/>
          <w:sz w:val="24"/>
        </w:rPr>
        <w:t>225,</w:t>
      </w:r>
      <w:r w:rsidR="00687762" w:rsidRPr="00687762">
        <w:rPr>
          <w:rFonts w:ascii="Arial" w:hAnsi="Arial" w:cs="Arial"/>
          <w:b/>
          <w:bCs/>
          <w:i/>
          <w:sz w:val="24"/>
        </w:rPr>
        <w:t>-</w:t>
      </w:r>
      <w:r w:rsidRPr="00687762">
        <w:rPr>
          <w:rFonts w:ascii="Arial" w:hAnsi="Arial" w:cs="Arial"/>
          <w:b/>
          <w:bCs/>
          <w:i/>
          <w:sz w:val="24"/>
        </w:rPr>
        <w:t>- Kč vč. DPH.</w:t>
      </w: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  <w:r w:rsidRPr="00D5249A">
        <w:rPr>
          <w:rFonts w:ascii="Arial" w:hAnsi="Arial" w:cs="Arial"/>
          <w:bCs/>
          <w:i/>
          <w:sz w:val="24"/>
        </w:rPr>
        <w:t>Z toho: SO 01 225 947,</w:t>
      </w:r>
      <w:r w:rsidR="00687762">
        <w:rPr>
          <w:rFonts w:ascii="Arial" w:hAnsi="Arial" w:cs="Arial"/>
          <w:bCs/>
          <w:i/>
          <w:sz w:val="24"/>
        </w:rPr>
        <w:t>-</w:t>
      </w:r>
      <w:r w:rsidRPr="00D5249A">
        <w:rPr>
          <w:rFonts w:ascii="Arial" w:hAnsi="Arial" w:cs="Arial"/>
          <w:bCs/>
          <w:i/>
          <w:sz w:val="24"/>
        </w:rPr>
        <w:t>- Kč; SO 02 1. 081 355,</w:t>
      </w:r>
      <w:r w:rsidR="00687762">
        <w:rPr>
          <w:rFonts w:ascii="Arial" w:hAnsi="Arial" w:cs="Arial"/>
          <w:bCs/>
          <w:i/>
          <w:sz w:val="24"/>
        </w:rPr>
        <w:t>-</w:t>
      </w:r>
      <w:r w:rsidRPr="00D5249A">
        <w:rPr>
          <w:rFonts w:ascii="Arial" w:hAnsi="Arial" w:cs="Arial"/>
          <w:bCs/>
          <w:i/>
          <w:sz w:val="24"/>
        </w:rPr>
        <w:t>- Kč; SO 03 140 923,-</w:t>
      </w:r>
      <w:r w:rsidR="00687762">
        <w:rPr>
          <w:rFonts w:ascii="Arial" w:hAnsi="Arial" w:cs="Arial"/>
          <w:bCs/>
          <w:i/>
          <w:sz w:val="24"/>
        </w:rPr>
        <w:t>-</w:t>
      </w:r>
      <w:r w:rsidRPr="00D5249A">
        <w:rPr>
          <w:rFonts w:ascii="Arial" w:hAnsi="Arial" w:cs="Arial"/>
          <w:bCs/>
          <w:i/>
          <w:sz w:val="24"/>
        </w:rPr>
        <w:t xml:space="preserve"> Kč</w:t>
      </w: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  <w:r w:rsidRPr="00D5249A">
        <w:rPr>
          <w:rFonts w:ascii="Arial" w:hAnsi="Arial" w:cs="Arial"/>
          <w:bCs/>
          <w:i/>
          <w:sz w:val="24"/>
        </w:rPr>
        <w:t xml:space="preserve"> </w:t>
      </w:r>
    </w:p>
    <w:p w:rsidR="000054F9" w:rsidRPr="00687762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/>
          <w:bCs/>
          <w:i/>
          <w:sz w:val="24"/>
        </w:rPr>
      </w:pPr>
      <w:r w:rsidRPr="00D5249A">
        <w:rPr>
          <w:rFonts w:ascii="Arial" w:hAnsi="Arial" w:cs="Arial"/>
          <w:bCs/>
          <w:i/>
          <w:sz w:val="24"/>
        </w:rPr>
        <w:t xml:space="preserve">Dále byla zpracována projektová dokumentace „Elektroinstalace – úprava stávající přípojky“. </w:t>
      </w:r>
      <w:r w:rsidRPr="00687762">
        <w:rPr>
          <w:rFonts w:ascii="Arial" w:hAnsi="Arial" w:cs="Arial"/>
          <w:b/>
          <w:bCs/>
          <w:i/>
          <w:sz w:val="24"/>
        </w:rPr>
        <w:t xml:space="preserve">Rozpočet této části </w:t>
      </w:r>
      <w:r w:rsidR="00687762" w:rsidRPr="00687762">
        <w:rPr>
          <w:rFonts w:ascii="Arial" w:hAnsi="Arial" w:cs="Arial"/>
          <w:b/>
          <w:bCs/>
          <w:i/>
          <w:sz w:val="24"/>
        </w:rPr>
        <w:t>činí</w:t>
      </w:r>
      <w:r w:rsidRPr="00687762">
        <w:rPr>
          <w:rFonts w:ascii="Arial" w:hAnsi="Arial" w:cs="Arial"/>
          <w:b/>
          <w:bCs/>
          <w:i/>
          <w:sz w:val="24"/>
        </w:rPr>
        <w:t xml:space="preserve"> 207.859,-</w:t>
      </w:r>
      <w:r w:rsidR="00687762" w:rsidRPr="00687762">
        <w:rPr>
          <w:rFonts w:ascii="Arial" w:hAnsi="Arial" w:cs="Arial"/>
          <w:b/>
          <w:bCs/>
          <w:i/>
          <w:sz w:val="24"/>
        </w:rPr>
        <w:t>-</w:t>
      </w:r>
      <w:r w:rsidRPr="00687762">
        <w:rPr>
          <w:rFonts w:ascii="Arial" w:hAnsi="Arial" w:cs="Arial"/>
          <w:b/>
          <w:bCs/>
          <w:i/>
          <w:sz w:val="24"/>
        </w:rPr>
        <w:t xml:space="preserve"> Kč vč. DPH.</w:t>
      </w:r>
    </w:p>
    <w:p w:rsidR="000054F9" w:rsidRPr="00D5249A" w:rsidRDefault="000054F9" w:rsidP="000054F9">
      <w:pPr>
        <w:shd w:val="clear" w:color="auto" w:fill="FFFFFF"/>
        <w:ind w:left="14" w:right="7"/>
        <w:jc w:val="both"/>
        <w:rPr>
          <w:rFonts w:ascii="Arial" w:hAnsi="Arial" w:cs="Arial"/>
          <w:bCs/>
          <w:i/>
          <w:sz w:val="24"/>
        </w:rPr>
      </w:pPr>
    </w:p>
    <w:p w:rsidR="000054F9" w:rsidRPr="00687762" w:rsidRDefault="00F65C1F" w:rsidP="000054F9">
      <w:pPr>
        <w:shd w:val="clear" w:color="auto" w:fill="FFFFFF"/>
        <w:ind w:left="14" w:right="7"/>
        <w:jc w:val="both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Celkový rozpočet na akci je 3.</w:t>
      </w:r>
      <w:r w:rsidR="000054F9" w:rsidRPr="00687762">
        <w:rPr>
          <w:rFonts w:ascii="Arial" w:hAnsi="Arial" w:cs="Arial"/>
          <w:b/>
          <w:bCs/>
          <w:i/>
          <w:sz w:val="24"/>
        </w:rPr>
        <w:t>823 958,</w:t>
      </w:r>
      <w:r w:rsidR="00687762" w:rsidRPr="00687762">
        <w:rPr>
          <w:rFonts w:ascii="Arial" w:hAnsi="Arial" w:cs="Arial"/>
          <w:b/>
          <w:bCs/>
          <w:i/>
          <w:sz w:val="24"/>
        </w:rPr>
        <w:t>-</w:t>
      </w:r>
      <w:r>
        <w:rPr>
          <w:rFonts w:ascii="Arial" w:hAnsi="Arial" w:cs="Arial"/>
          <w:b/>
          <w:bCs/>
          <w:i/>
          <w:sz w:val="24"/>
        </w:rPr>
        <w:t>- Kč vč. DPH (3.</w:t>
      </w:r>
      <w:r w:rsidR="000054F9" w:rsidRPr="00687762">
        <w:rPr>
          <w:rFonts w:ascii="Arial" w:hAnsi="Arial" w:cs="Arial"/>
          <w:b/>
          <w:bCs/>
          <w:i/>
          <w:sz w:val="24"/>
        </w:rPr>
        <w:t>160 296,-</w:t>
      </w:r>
      <w:r w:rsidR="00687762" w:rsidRPr="00687762">
        <w:rPr>
          <w:rFonts w:ascii="Arial" w:hAnsi="Arial" w:cs="Arial"/>
          <w:b/>
          <w:bCs/>
          <w:i/>
          <w:sz w:val="24"/>
        </w:rPr>
        <w:t>-</w:t>
      </w:r>
      <w:r w:rsidR="000054F9" w:rsidRPr="00687762">
        <w:rPr>
          <w:rFonts w:ascii="Arial" w:hAnsi="Arial" w:cs="Arial"/>
          <w:b/>
          <w:bCs/>
          <w:i/>
          <w:sz w:val="24"/>
        </w:rPr>
        <w:t xml:space="preserve"> Kč bez DPH).</w:t>
      </w:r>
    </w:p>
    <w:p w:rsidR="000054F9" w:rsidRPr="00F65C1F" w:rsidRDefault="000054F9" w:rsidP="000054F9">
      <w:pPr>
        <w:shd w:val="clear" w:color="auto" w:fill="FFFFFF"/>
        <w:ind w:right="7"/>
        <w:jc w:val="both"/>
        <w:rPr>
          <w:rFonts w:ascii="Arial" w:hAnsi="Arial" w:cs="Arial"/>
          <w:bCs/>
          <w:i/>
          <w:sz w:val="24"/>
        </w:rPr>
      </w:pPr>
    </w:p>
    <w:p w:rsidR="000054F9" w:rsidRPr="00F65C1F" w:rsidRDefault="000054F9" w:rsidP="000054F9">
      <w:pPr>
        <w:pStyle w:val="Normlnweb"/>
        <w:shd w:val="clear" w:color="auto" w:fill="FFFFFF"/>
        <w:spacing w:before="0" w:beforeAutospacing="0" w:after="0"/>
        <w:jc w:val="both"/>
        <w:rPr>
          <w:rFonts w:ascii="Arial" w:eastAsia="Times New Roman" w:hAnsi="Arial" w:cs="Arial"/>
          <w:bCs/>
          <w:i/>
        </w:rPr>
      </w:pPr>
      <w:r w:rsidRPr="00F65C1F">
        <w:rPr>
          <w:rFonts w:ascii="Arial" w:eastAsia="Times New Roman" w:hAnsi="Arial" w:cs="Arial"/>
          <w:bCs/>
          <w:i/>
        </w:rPr>
        <w:t xml:space="preserve">V rozpočtu města Prostějova je na danou akci vyčleněno </w:t>
      </w:r>
      <w:r w:rsidR="00687762" w:rsidRPr="00F65C1F">
        <w:rPr>
          <w:rFonts w:ascii="Arial" w:eastAsia="Times New Roman" w:hAnsi="Arial" w:cs="Arial"/>
          <w:bCs/>
          <w:i/>
        </w:rPr>
        <w:t xml:space="preserve">pouze </w:t>
      </w:r>
      <w:r w:rsidR="00F65C1F" w:rsidRPr="00F65C1F">
        <w:rPr>
          <w:rFonts w:ascii="Arial" w:eastAsia="Times New Roman" w:hAnsi="Arial" w:cs="Arial"/>
          <w:bCs/>
          <w:i/>
        </w:rPr>
        <w:t>1.</w:t>
      </w:r>
      <w:r w:rsidRPr="00F65C1F">
        <w:rPr>
          <w:rFonts w:ascii="Arial" w:eastAsia="Times New Roman" w:hAnsi="Arial" w:cs="Arial"/>
          <w:bCs/>
          <w:i/>
        </w:rPr>
        <w:t>000.000,-- Kč.</w:t>
      </w:r>
    </w:p>
    <w:p w:rsidR="00D42596" w:rsidRPr="00F65C1F" w:rsidRDefault="000054F9" w:rsidP="006877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bCs/>
          <w:i/>
        </w:rPr>
      </w:pPr>
      <w:r w:rsidRPr="00F65C1F">
        <w:rPr>
          <w:rFonts w:ascii="Arial" w:eastAsia="Times New Roman" w:hAnsi="Arial" w:cs="Arial"/>
          <w:bCs/>
          <w:i/>
        </w:rPr>
        <w:t>Aby mohlo být zadáno výběrové řízení na zhotovitele stavby</w:t>
      </w:r>
      <w:r w:rsidR="00687762" w:rsidRPr="00F65C1F">
        <w:rPr>
          <w:rFonts w:ascii="Arial" w:eastAsia="Times New Roman" w:hAnsi="Arial" w:cs="Arial"/>
          <w:bCs/>
          <w:i/>
        </w:rPr>
        <w:t xml:space="preserve"> a uzavřena smlouva o dílo, je potřebné schválit do rozpočtu města finanční prostředky ve výši</w:t>
      </w:r>
      <w:r w:rsidRPr="00F65C1F">
        <w:rPr>
          <w:rFonts w:ascii="Arial" w:eastAsia="Times New Roman" w:hAnsi="Arial" w:cs="Arial"/>
          <w:bCs/>
          <w:i/>
        </w:rPr>
        <w:t xml:space="preserve"> 2.900.000,-</w:t>
      </w:r>
      <w:r w:rsidR="00687762" w:rsidRPr="00F65C1F">
        <w:rPr>
          <w:rFonts w:ascii="Arial" w:eastAsia="Times New Roman" w:hAnsi="Arial" w:cs="Arial"/>
          <w:bCs/>
          <w:i/>
        </w:rPr>
        <w:t>-</w:t>
      </w:r>
      <w:r w:rsidRPr="00F65C1F">
        <w:rPr>
          <w:rFonts w:ascii="Arial" w:eastAsia="Times New Roman" w:hAnsi="Arial" w:cs="Arial"/>
          <w:bCs/>
          <w:i/>
        </w:rPr>
        <w:t xml:space="preserve"> Kč. </w:t>
      </w:r>
    </w:p>
    <w:p w:rsidR="007742C3" w:rsidRPr="00F65C1F" w:rsidRDefault="007742C3" w:rsidP="00471C30">
      <w:pPr>
        <w:jc w:val="both"/>
        <w:rPr>
          <w:rFonts w:ascii="Arial" w:hAnsi="Arial" w:cs="Arial"/>
          <w:sz w:val="24"/>
          <w:u w:val="single"/>
        </w:rPr>
      </w:pPr>
    </w:p>
    <w:p w:rsidR="00F65C1F" w:rsidRDefault="00F65C1F" w:rsidP="00471C30">
      <w:pPr>
        <w:jc w:val="both"/>
        <w:rPr>
          <w:rFonts w:ascii="Arial" w:hAnsi="Arial" w:cs="Arial"/>
          <w:sz w:val="24"/>
          <w:u w:val="single"/>
        </w:rPr>
      </w:pPr>
    </w:p>
    <w:p w:rsidR="00F65C1F" w:rsidRDefault="00F65C1F" w:rsidP="00F65C1F">
      <w:pPr>
        <w:jc w:val="both"/>
        <w:rPr>
          <w:rFonts w:ascii="Arial" w:hAnsi="Arial" w:cs="Arial"/>
          <w:bCs/>
          <w:sz w:val="24"/>
        </w:rPr>
      </w:pPr>
    </w:p>
    <w:p w:rsidR="00F65C1F" w:rsidRDefault="00F65C1F" w:rsidP="00F65C1F">
      <w:pPr>
        <w:pStyle w:val="Zkladntextodsazen3"/>
        <w:ind w:left="0" w:firstLine="0"/>
        <w:rPr>
          <w:rFonts w:cs="Arial"/>
          <w:b/>
          <w:i/>
          <w:szCs w:val="24"/>
        </w:rPr>
      </w:pPr>
      <w:r w:rsidRPr="005F7CDD">
        <w:rPr>
          <w:rFonts w:cs="Arial"/>
          <w:b/>
          <w:i/>
          <w:szCs w:val="24"/>
        </w:rPr>
        <w:t xml:space="preserve">Rada města Prostějova dne </w:t>
      </w:r>
      <w:proofErr w:type="gramStart"/>
      <w:r>
        <w:rPr>
          <w:rFonts w:cs="Arial"/>
          <w:b/>
          <w:i/>
          <w:szCs w:val="24"/>
        </w:rPr>
        <w:t>01.06</w:t>
      </w:r>
      <w:r w:rsidRPr="005F7CDD">
        <w:rPr>
          <w:rFonts w:cs="Arial"/>
          <w:b/>
          <w:i/>
          <w:szCs w:val="24"/>
        </w:rPr>
        <w:t>.2021</w:t>
      </w:r>
      <w:proofErr w:type="gramEnd"/>
      <w:r w:rsidRPr="005F7CDD">
        <w:rPr>
          <w:rFonts w:cs="Arial"/>
          <w:b/>
          <w:i/>
          <w:szCs w:val="24"/>
        </w:rPr>
        <w:t xml:space="preserve"> doporučila Zastupitelstvu města Prostějova usnesením č. </w:t>
      </w:r>
      <w:r>
        <w:rPr>
          <w:rFonts w:cs="Arial"/>
          <w:b/>
          <w:i/>
          <w:szCs w:val="24"/>
        </w:rPr>
        <w:t xml:space="preserve">1488 </w:t>
      </w:r>
      <w:r w:rsidRPr="00C44C5A">
        <w:rPr>
          <w:rFonts w:cs="Arial"/>
          <w:b/>
          <w:i/>
          <w:szCs w:val="24"/>
        </w:rPr>
        <w:t>schválit</w:t>
      </w:r>
      <w:r w:rsidRPr="005F7CDD">
        <w:rPr>
          <w:rFonts w:cs="Arial"/>
          <w:b/>
          <w:i/>
          <w:szCs w:val="24"/>
        </w:rPr>
        <w:t xml:space="preserve"> výše uvedené rozpočtové opatření.</w:t>
      </w:r>
    </w:p>
    <w:p w:rsidR="00F65C1F" w:rsidRDefault="00F65C1F" w:rsidP="00471C30">
      <w:pPr>
        <w:jc w:val="both"/>
        <w:rPr>
          <w:rFonts w:ascii="Arial" w:hAnsi="Arial" w:cs="Arial"/>
          <w:sz w:val="24"/>
          <w:u w:val="single"/>
        </w:rPr>
      </w:pPr>
    </w:p>
    <w:p w:rsidR="00F65C1F" w:rsidRDefault="00F65C1F" w:rsidP="00471C30">
      <w:pPr>
        <w:jc w:val="both"/>
        <w:rPr>
          <w:rFonts w:ascii="Arial" w:hAnsi="Arial" w:cs="Arial"/>
          <w:sz w:val="24"/>
          <w:u w:val="single"/>
        </w:rPr>
      </w:pPr>
    </w:p>
    <w:p w:rsidR="00F65C1F" w:rsidRDefault="00F65C1F" w:rsidP="00471C30">
      <w:pPr>
        <w:jc w:val="both"/>
        <w:rPr>
          <w:rFonts w:ascii="Arial" w:hAnsi="Arial" w:cs="Arial"/>
          <w:sz w:val="24"/>
          <w:u w:val="single"/>
        </w:rPr>
      </w:pPr>
    </w:p>
    <w:p w:rsidR="00471C30" w:rsidRPr="00F65C1F" w:rsidRDefault="00471C30" w:rsidP="00471C30">
      <w:pPr>
        <w:jc w:val="both"/>
        <w:rPr>
          <w:rFonts w:ascii="Arial" w:hAnsi="Arial" w:cs="Arial"/>
          <w:i/>
          <w:sz w:val="24"/>
        </w:rPr>
      </w:pPr>
      <w:r w:rsidRPr="00F65C1F">
        <w:rPr>
          <w:rFonts w:ascii="Arial" w:hAnsi="Arial" w:cs="Arial"/>
          <w:i/>
          <w:sz w:val="24"/>
          <w:u w:val="single"/>
        </w:rPr>
        <w:t>Příloha</w:t>
      </w:r>
    </w:p>
    <w:p w:rsidR="00896A87" w:rsidRDefault="004B1D9A" w:rsidP="00EE61FF">
      <w:pPr>
        <w:tabs>
          <w:tab w:val="right" w:pos="22680"/>
        </w:tabs>
        <w:rPr>
          <w:rFonts w:cs="Arial"/>
          <w:b/>
          <w:bCs/>
          <w:sz w:val="22"/>
          <w:szCs w:val="22"/>
        </w:rPr>
      </w:pPr>
      <w:r w:rsidRPr="002B4975">
        <w:rPr>
          <w:rFonts w:ascii="Arial" w:hAnsi="Arial" w:cs="Arial"/>
          <w:i/>
          <w:sz w:val="24"/>
        </w:rPr>
        <w:t xml:space="preserve">Situace </w:t>
      </w:r>
      <w:r w:rsidR="00AA5A02">
        <w:rPr>
          <w:rFonts w:ascii="Arial" w:hAnsi="Arial" w:cs="Arial"/>
          <w:i/>
          <w:sz w:val="24"/>
        </w:rPr>
        <w:t xml:space="preserve">umístění </w:t>
      </w:r>
      <w:r w:rsidR="000054F9">
        <w:rPr>
          <w:rFonts w:ascii="Arial" w:hAnsi="Arial" w:cs="Arial"/>
          <w:i/>
          <w:sz w:val="24"/>
        </w:rPr>
        <w:t>stavby, perspektivní pohled na pergolu</w:t>
      </w:r>
    </w:p>
    <w:p w:rsidR="00293862" w:rsidRDefault="00D614BC" w:rsidP="00EE61FF">
      <w:pPr>
        <w:tabs>
          <w:tab w:val="right" w:pos="22680"/>
        </w:tabs>
      </w:pPr>
      <w:r>
        <w:lastRenderedPageBreak/>
        <w:br w:type="textWrapping" w:clear="all"/>
      </w:r>
      <w:r w:rsidR="000054F9">
        <w:rPr>
          <w:noProof/>
        </w:rPr>
        <w:drawing>
          <wp:inline distT="0" distB="0" distL="0" distR="0" wp14:anchorId="4C913F55">
            <wp:extent cx="6266815" cy="4418965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441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77E" w:rsidRDefault="009E677E" w:rsidP="00EE61FF">
      <w:pPr>
        <w:tabs>
          <w:tab w:val="right" w:pos="22680"/>
        </w:tabs>
      </w:pPr>
    </w:p>
    <w:p w:rsidR="009E677E" w:rsidRDefault="000054F9" w:rsidP="00EE61FF">
      <w:pPr>
        <w:tabs>
          <w:tab w:val="right" w:pos="22680"/>
        </w:tabs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609600</wp:posOffset>
            </wp:positionH>
            <wp:positionV relativeFrom="page">
              <wp:posOffset>6832600</wp:posOffset>
            </wp:positionV>
            <wp:extent cx="5133340" cy="2883535"/>
            <wp:effectExtent l="0" t="0" r="0" b="0"/>
            <wp:wrapTight wrapText="bothSides">
              <wp:wrapPolygon edited="0">
                <wp:start x="0" y="0"/>
                <wp:lineTo x="0" y="21405"/>
                <wp:lineTo x="21482" y="21405"/>
                <wp:lineTo x="2148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77E" w:rsidRDefault="009E677E" w:rsidP="00EE61FF">
      <w:pPr>
        <w:tabs>
          <w:tab w:val="right" w:pos="22680"/>
        </w:tabs>
      </w:pPr>
    </w:p>
    <w:sectPr w:rsidR="009E677E" w:rsidSect="00EE61FF">
      <w:footerReference w:type="default" r:id="rId10"/>
      <w:footerReference w:type="first" r:id="rId11"/>
      <w:pgSz w:w="11907" w:h="16839" w:code="9"/>
      <w:pgMar w:top="567" w:right="720" w:bottom="624" w:left="720" w:header="709" w:footer="21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A7" w:rsidRDefault="00590BA7">
      <w:r>
        <w:separator/>
      </w:r>
    </w:p>
  </w:endnote>
  <w:endnote w:type="continuationSeparator" w:id="0">
    <w:p w:rsidR="00590BA7" w:rsidRDefault="0059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96" w:rsidRPr="00471C30" w:rsidRDefault="000A7C1E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Zastupitelstvo města Prostějova </w:t>
    </w:r>
    <w:proofErr w:type="gramStart"/>
    <w:r>
      <w:rPr>
        <w:rFonts w:ascii="Arial" w:hAnsi="Arial" w:cs="Arial"/>
        <w:szCs w:val="20"/>
      </w:rPr>
      <w:t>15.06.2021</w:t>
    </w:r>
    <w:proofErr w:type="gramEnd"/>
    <w:r w:rsidR="00D42596" w:rsidRPr="00471C30">
      <w:rPr>
        <w:rFonts w:ascii="Arial" w:hAnsi="Arial" w:cs="Arial"/>
        <w:szCs w:val="20"/>
      </w:rPr>
      <w:tab/>
    </w:r>
    <w:r w:rsidR="00D42596" w:rsidRPr="00471C30">
      <w:rPr>
        <w:rFonts w:ascii="Arial" w:hAnsi="Arial" w:cs="Arial"/>
        <w:szCs w:val="20"/>
      </w:rPr>
      <w:tab/>
      <w:t xml:space="preserve">Strana </w:t>
    </w:r>
    <w:r w:rsidR="00D42596" w:rsidRPr="00471C30">
      <w:rPr>
        <w:rFonts w:ascii="Arial" w:hAnsi="Arial" w:cs="Arial"/>
        <w:szCs w:val="20"/>
      </w:rPr>
      <w:fldChar w:fldCharType="begin"/>
    </w:r>
    <w:r w:rsidR="00D42596" w:rsidRPr="00471C30">
      <w:rPr>
        <w:rFonts w:ascii="Arial" w:hAnsi="Arial" w:cs="Arial"/>
        <w:szCs w:val="20"/>
      </w:rPr>
      <w:instrText>PAGE   \* MERGEFORMAT</w:instrText>
    </w:r>
    <w:r w:rsidR="00D42596" w:rsidRPr="00471C30">
      <w:rPr>
        <w:rFonts w:ascii="Arial" w:hAnsi="Arial" w:cs="Arial"/>
        <w:szCs w:val="20"/>
      </w:rPr>
      <w:fldChar w:fldCharType="separate"/>
    </w:r>
    <w:r w:rsidR="00D66DC5">
      <w:rPr>
        <w:rFonts w:ascii="Arial" w:hAnsi="Arial" w:cs="Arial"/>
        <w:noProof/>
        <w:szCs w:val="20"/>
      </w:rPr>
      <w:t>3</w:t>
    </w:r>
    <w:r w:rsidR="00D42596" w:rsidRPr="00471C30">
      <w:rPr>
        <w:rFonts w:ascii="Arial" w:hAnsi="Arial" w:cs="Arial"/>
        <w:szCs w:val="20"/>
      </w:rPr>
      <w:fldChar w:fldCharType="end"/>
    </w:r>
  </w:p>
  <w:p w:rsidR="00D42596" w:rsidRPr="00471C30" w:rsidRDefault="00D42596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B31BF8" w:rsidRPr="00B31BF8" w:rsidRDefault="00AD35D2" w:rsidP="00B31BF8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Veřejné prostranství u ZŠ Husova</w:t>
    </w:r>
  </w:p>
  <w:p w:rsidR="00010360" w:rsidRDefault="000103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CF" w:rsidRDefault="00A351CF">
    <w:pPr>
      <w:pStyle w:val="Zpat"/>
      <w:jc w:val="center"/>
    </w:pPr>
    <w:r>
      <w:t>3</w:t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 w:rsidR="00C224B2"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 w:rsidR="00C224B2"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 w:rsidR="00D42596"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A351CF" w:rsidRDefault="00774706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A7" w:rsidRDefault="00590BA7">
      <w:r>
        <w:separator/>
      </w:r>
    </w:p>
  </w:footnote>
  <w:footnote w:type="continuationSeparator" w:id="0">
    <w:p w:rsidR="00590BA7" w:rsidRDefault="0059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52F61BC"/>
    <w:multiLevelType w:val="hybridMultilevel"/>
    <w:tmpl w:val="E1B688A6"/>
    <w:lvl w:ilvl="0" w:tplc="E942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4F0"/>
    <w:multiLevelType w:val="hybridMultilevel"/>
    <w:tmpl w:val="B12A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A43E4"/>
    <w:multiLevelType w:val="hybridMultilevel"/>
    <w:tmpl w:val="2D14CB9A"/>
    <w:lvl w:ilvl="0" w:tplc="88DC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054F9"/>
    <w:rsid w:val="00010360"/>
    <w:rsid w:val="000213C5"/>
    <w:rsid w:val="00022478"/>
    <w:rsid w:val="00032794"/>
    <w:rsid w:val="000333D9"/>
    <w:rsid w:val="00035498"/>
    <w:rsid w:val="000373FE"/>
    <w:rsid w:val="00044983"/>
    <w:rsid w:val="00044BF0"/>
    <w:rsid w:val="00046613"/>
    <w:rsid w:val="00061244"/>
    <w:rsid w:val="00063D92"/>
    <w:rsid w:val="00066DCF"/>
    <w:rsid w:val="0007049A"/>
    <w:rsid w:val="00071F2F"/>
    <w:rsid w:val="00072580"/>
    <w:rsid w:val="00080C63"/>
    <w:rsid w:val="000834B3"/>
    <w:rsid w:val="0009093C"/>
    <w:rsid w:val="000A7646"/>
    <w:rsid w:val="000A7C1E"/>
    <w:rsid w:val="000B726A"/>
    <w:rsid w:val="000C19C6"/>
    <w:rsid w:val="000D5E94"/>
    <w:rsid w:val="000D716B"/>
    <w:rsid w:val="000E7996"/>
    <w:rsid w:val="000F2C3C"/>
    <w:rsid w:val="000F3A29"/>
    <w:rsid w:val="000F64EA"/>
    <w:rsid w:val="001113F6"/>
    <w:rsid w:val="00112DE1"/>
    <w:rsid w:val="00115BFE"/>
    <w:rsid w:val="00116E48"/>
    <w:rsid w:val="00120C3D"/>
    <w:rsid w:val="00122E55"/>
    <w:rsid w:val="0013251B"/>
    <w:rsid w:val="00133F2B"/>
    <w:rsid w:val="00134175"/>
    <w:rsid w:val="001372D6"/>
    <w:rsid w:val="001446DE"/>
    <w:rsid w:val="00144793"/>
    <w:rsid w:val="00146D7A"/>
    <w:rsid w:val="00151412"/>
    <w:rsid w:val="00152218"/>
    <w:rsid w:val="00153369"/>
    <w:rsid w:val="00155BB0"/>
    <w:rsid w:val="00160660"/>
    <w:rsid w:val="001618D2"/>
    <w:rsid w:val="00163540"/>
    <w:rsid w:val="001705E3"/>
    <w:rsid w:val="00192D3A"/>
    <w:rsid w:val="001A2D4B"/>
    <w:rsid w:val="001A3102"/>
    <w:rsid w:val="001A5BB3"/>
    <w:rsid w:val="001A6EAC"/>
    <w:rsid w:val="001B0D68"/>
    <w:rsid w:val="001B3FAD"/>
    <w:rsid w:val="001D3937"/>
    <w:rsid w:val="001D5823"/>
    <w:rsid w:val="001E25EA"/>
    <w:rsid w:val="001E3EDA"/>
    <w:rsid w:val="001F6247"/>
    <w:rsid w:val="001F6CF9"/>
    <w:rsid w:val="00201325"/>
    <w:rsid w:val="002066F4"/>
    <w:rsid w:val="00213334"/>
    <w:rsid w:val="00216C6E"/>
    <w:rsid w:val="00243469"/>
    <w:rsid w:val="0024522E"/>
    <w:rsid w:val="00264028"/>
    <w:rsid w:val="002813C8"/>
    <w:rsid w:val="00282AE8"/>
    <w:rsid w:val="00284533"/>
    <w:rsid w:val="0029045C"/>
    <w:rsid w:val="00293862"/>
    <w:rsid w:val="002A3A85"/>
    <w:rsid w:val="002B54EC"/>
    <w:rsid w:val="002B5A0E"/>
    <w:rsid w:val="002C4DA5"/>
    <w:rsid w:val="002C5480"/>
    <w:rsid w:val="002D2A5A"/>
    <w:rsid w:val="002D6113"/>
    <w:rsid w:val="002D7730"/>
    <w:rsid w:val="002F218D"/>
    <w:rsid w:val="00303B06"/>
    <w:rsid w:val="00313828"/>
    <w:rsid w:val="00316385"/>
    <w:rsid w:val="00317AE7"/>
    <w:rsid w:val="00321251"/>
    <w:rsid w:val="00322529"/>
    <w:rsid w:val="0032740E"/>
    <w:rsid w:val="00342138"/>
    <w:rsid w:val="00355D25"/>
    <w:rsid w:val="00363C02"/>
    <w:rsid w:val="00374FBA"/>
    <w:rsid w:val="003817DE"/>
    <w:rsid w:val="003839B3"/>
    <w:rsid w:val="00392771"/>
    <w:rsid w:val="003940BA"/>
    <w:rsid w:val="003A246A"/>
    <w:rsid w:val="003A7B82"/>
    <w:rsid w:val="003B444C"/>
    <w:rsid w:val="003F25F8"/>
    <w:rsid w:val="003F2C00"/>
    <w:rsid w:val="003F7E27"/>
    <w:rsid w:val="00400F29"/>
    <w:rsid w:val="0040304F"/>
    <w:rsid w:val="00411FD0"/>
    <w:rsid w:val="004244BF"/>
    <w:rsid w:val="004307D0"/>
    <w:rsid w:val="004431B5"/>
    <w:rsid w:val="004431ED"/>
    <w:rsid w:val="00443539"/>
    <w:rsid w:val="0046254F"/>
    <w:rsid w:val="00463FFF"/>
    <w:rsid w:val="00464B2F"/>
    <w:rsid w:val="00471C30"/>
    <w:rsid w:val="00475714"/>
    <w:rsid w:val="00477E05"/>
    <w:rsid w:val="004847B1"/>
    <w:rsid w:val="00493077"/>
    <w:rsid w:val="004A0414"/>
    <w:rsid w:val="004A7D29"/>
    <w:rsid w:val="004B1D9A"/>
    <w:rsid w:val="004B44CB"/>
    <w:rsid w:val="004E0C1B"/>
    <w:rsid w:val="004F372B"/>
    <w:rsid w:val="004F5CB0"/>
    <w:rsid w:val="004F6A19"/>
    <w:rsid w:val="004F7CD6"/>
    <w:rsid w:val="00500560"/>
    <w:rsid w:val="005123A8"/>
    <w:rsid w:val="00520976"/>
    <w:rsid w:val="00526440"/>
    <w:rsid w:val="00534A71"/>
    <w:rsid w:val="00534CF0"/>
    <w:rsid w:val="00536C80"/>
    <w:rsid w:val="00541252"/>
    <w:rsid w:val="00551B4E"/>
    <w:rsid w:val="005572EC"/>
    <w:rsid w:val="00557340"/>
    <w:rsid w:val="0056061E"/>
    <w:rsid w:val="00575AB5"/>
    <w:rsid w:val="00586052"/>
    <w:rsid w:val="00586D29"/>
    <w:rsid w:val="00590BA7"/>
    <w:rsid w:val="00594B5E"/>
    <w:rsid w:val="005B4D13"/>
    <w:rsid w:val="005B7016"/>
    <w:rsid w:val="005C1944"/>
    <w:rsid w:val="005C578E"/>
    <w:rsid w:val="005C68CC"/>
    <w:rsid w:val="005D3044"/>
    <w:rsid w:val="005E2614"/>
    <w:rsid w:val="005E3B23"/>
    <w:rsid w:val="005E4764"/>
    <w:rsid w:val="005F605D"/>
    <w:rsid w:val="005F721A"/>
    <w:rsid w:val="006062DB"/>
    <w:rsid w:val="006142D3"/>
    <w:rsid w:val="00624E4F"/>
    <w:rsid w:val="00625065"/>
    <w:rsid w:val="00625B61"/>
    <w:rsid w:val="0064309C"/>
    <w:rsid w:val="0064447A"/>
    <w:rsid w:val="00653E06"/>
    <w:rsid w:val="00655BAA"/>
    <w:rsid w:val="0065675C"/>
    <w:rsid w:val="0066351A"/>
    <w:rsid w:val="00665E2A"/>
    <w:rsid w:val="006668EC"/>
    <w:rsid w:val="00680E7E"/>
    <w:rsid w:val="00687762"/>
    <w:rsid w:val="00693326"/>
    <w:rsid w:val="006A3D3C"/>
    <w:rsid w:val="006A6B6A"/>
    <w:rsid w:val="006A6BB5"/>
    <w:rsid w:val="006B29F2"/>
    <w:rsid w:val="006B4801"/>
    <w:rsid w:val="006C41BB"/>
    <w:rsid w:val="006C4487"/>
    <w:rsid w:val="006D01A0"/>
    <w:rsid w:val="006D56C6"/>
    <w:rsid w:val="006D66E9"/>
    <w:rsid w:val="006E0814"/>
    <w:rsid w:val="006E0C89"/>
    <w:rsid w:val="006E2F52"/>
    <w:rsid w:val="006E5F63"/>
    <w:rsid w:val="006F3DB5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2449"/>
    <w:rsid w:val="007374D1"/>
    <w:rsid w:val="00743EF2"/>
    <w:rsid w:val="007634DF"/>
    <w:rsid w:val="007676C9"/>
    <w:rsid w:val="007742C3"/>
    <w:rsid w:val="00774706"/>
    <w:rsid w:val="007776C1"/>
    <w:rsid w:val="00786A6D"/>
    <w:rsid w:val="00792E4A"/>
    <w:rsid w:val="00795569"/>
    <w:rsid w:val="00795795"/>
    <w:rsid w:val="007959A6"/>
    <w:rsid w:val="007A0A90"/>
    <w:rsid w:val="007A6E20"/>
    <w:rsid w:val="007A7562"/>
    <w:rsid w:val="007D42BF"/>
    <w:rsid w:val="007D4890"/>
    <w:rsid w:val="007D4BA7"/>
    <w:rsid w:val="007D6223"/>
    <w:rsid w:val="007E17AF"/>
    <w:rsid w:val="007E5965"/>
    <w:rsid w:val="007E7A5F"/>
    <w:rsid w:val="00813664"/>
    <w:rsid w:val="008138CB"/>
    <w:rsid w:val="008164C4"/>
    <w:rsid w:val="00830DAC"/>
    <w:rsid w:val="008316D3"/>
    <w:rsid w:val="008327B3"/>
    <w:rsid w:val="0083404B"/>
    <w:rsid w:val="008608EE"/>
    <w:rsid w:val="00876BEC"/>
    <w:rsid w:val="00880913"/>
    <w:rsid w:val="00896A87"/>
    <w:rsid w:val="008A2F57"/>
    <w:rsid w:val="008A5A6F"/>
    <w:rsid w:val="008A5FA6"/>
    <w:rsid w:val="008A79CD"/>
    <w:rsid w:val="008B4422"/>
    <w:rsid w:val="008C4FD1"/>
    <w:rsid w:val="008F018D"/>
    <w:rsid w:val="00911E33"/>
    <w:rsid w:val="00912BA6"/>
    <w:rsid w:val="00933980"/>
    <w:rsid w:val="00935A29"/>
    <w:rsid w:val="009362C3"/>
    <w:rsid w:val="00943963"/>
    <w:rsid w:val="00943E19"/>
    <w:rsid w:val="00943F7F"/>
    <w:rsid w:val="0094466B"/>
    <w:rsid w:val="009466A2"/>
    <w:rsid w:val="009621DD"/>
    <w:rsid w:val="009638BE"/>
    <w:rsid w:val="009679B1"/>
    <w:rsid w:val="009739D2"/>
    <w:rsid w:val="00973E2C"/>
    <w:rsid w:val="0098309B"/>
    <w:rsid w:val="00990C16"/>
    <w:rsid w:val="009940CD"/>
    <w:rsid w:val="00997BF2"/>
    <w:rsid w:val="009A27C0"/>
    <w:rsid w:val="009B1543"/>
    <w:rsid w:val="009B6CAB"/>
    <w:rsid w:val="009C0878"/>
    <w:rsid w:val="009C51AA"/>
    <w:rsid w:val="009C5B1F"/>
    <w:rsid w:val="009E677E"/>
    <w:rsid w:val="009E7A60"/>
    <w:rsid w:val="009F4267"/>
    <w:rsid w:val="00A00750"/>
    <w:rsid w:val="00A02748"/>
    <w:rsid w:val="00A21CA8"/>
    <w:rsid w:val="00A30326"/>
    <w:rsid w:val="00A31A4C"/>
    <w:rsid w:val="00A31CAF"/>
    <w:rsid w:val="00A351CF"/>
    <w:rsid w:val="00A36736"/>
    <w:rsid w:val="00A52652"/>
    <w:rsid w:val="00A6273A"/>
    <w:rsid w:val="00A6519B"/>
    <w:rsid w:val="00A7525D"/>
    <w:rsid w:val="00A776B9"/>
    <w:rsid w:val="00A81771"/>
    <w:rsid w:val="00A820B5"/>
    <w:rsid w:val="00A84D6E"/>
    <w:rsid w:val="00A969DC"/>
    <w:rsid w:val="00A972BA"/>
    <w:rsid w:val="00AA0180"/>
    <w:rsid w:val="00AA0398"/>
    <w:rsid w:val="00AA5737"/>
    <w:rsid w:val="00AA5A02"/>
    <w:rsid w:val="00AA6F19"/>
    <w:rsid w:val="00AD04A6"/>
    <w:rsid w:val="00AD1971"/>
    <w:rsid w:val="00AD35D2"/>
    <w:rsid w:val="00AD6D3E"/>
    <w:rsid w:val="00AE0E78"/>
    <w:rsid w:val="00AF0FE6"/>
    <w:rsid w:val="00AF3E18"/>
    <w:rsid w:val="00AF3FFA"/>
    <w:rsid w:val="00AF7625"/>
    <w:rsid w:val="00B0711A"/>
    <w:rsid w:val="00B0761A"/>
    <w:rsid w:val="00B10FF2"/>
    <w:rsid w:val="00B17542"/>
    <w:rsid w:val="00B31BF8"/>
    <w:rsid w:val="00B35434"/>
    <w:rsid w:val="00B56C77"/>
    <w:rsid w:val="00B60693"/>
    <w:rsid w:val="00B60D2A"/>
    <w:rsid w:val="00B63CD3"/>
    <w:rsid w:val="00B856E2"/>
    <w:rsid w:val="00B86861"/>
    <w:rsid w:val="00B94C09"/>
    <w:rsid w:val="00B95C0D"/>
    <w:rsid w:val="00BA6941"/>
    <w:rsid w:val="00BA703B"/>
    <w:rsid w:val="00BB1F24"/>
    <w:rsid w:val="00BC3ACD"/>
    <w:rsid w:val="00BC64E3"/>
    <w:rsid w:val="00BC77E1"/>
    <w:rsid w:val="00BD2933"/>
    <w:rsid w:val="00BF3368"/>
    <w:rsid w:val="00BF5A79"/>
    <w:rsid w:val="00C020A3"/>
    <w:rsid w:val="00C03A8D"/>
    <w:rsid w:val="00C03C06"/>
    <w:rsid w:val="00C0772E"/>
    <w:rsid w:val="00C224B2"/>
    <w:rsid w:val="00C23BDF"/>
    <w:rsid w:val="00C25F50"/>
    <w:rsid w:val="00C448A6"/>
    <w:rsid w:val="00C47B06"/>
    <w:rsid w:val="00C56B48"/>
    <w:rsid w:val="00C7294C"/>
    <w:rsid w:val="00C7654F"/>
    <w:rsid w:val="00C82860"/>
    <w:rsid w:val="00C9291D"/>
    <w:rsid w:val="00C96F72"/>
    <w:rsid w:val="00CB1C57"/>
    <w:rsid w:val="00CB1D27"/>
    <w:rsid w:val="00CD6303"/>
    <w:rsid w:val="00CE34B4"/>
    <w:rsid w:val="00D01131"/>
    <w:rsid w:val="00D01E64"/>
    <w:rsid w:val="00D268B3"/>
    <w:rsid w:val="00D32492"/>
    <w:rsid w:val="00D42596"/>
    <w:rsid w:val="00D516DD"/>
    <w:rsid w:val="00D54C5C"/>
    <w:rsid w:val="00D6033D"/>
    <w:rsid w:val="00D614BC"/>
    <w:rsid w:val="00D66DC5"/>
    <w:rsid w:val="00DA13EE"/>
    <w:rsid w:val="00DC2D9A"/>
    <w:rsid w:val="00DD09A5"/>
    <w:rsid w:val="00DD1D60"/>
    <w:rsid w:val="00DD2FD9"/>
    <w:rsid w:val="00DE4F3C"/>
    <w:rsid w:val="00DF2932"/>
    <w:rsid w:val="00E05133"/>
    <w:rsid w:val="00E07231"/>
    <w:rsid w:val="00E10670"/>
    <w:rsid w:val="00E164DA"/>
    <w:rsid w:val="00E45AE4"/>
    <w:rsid w:val="00E51E06"/>
    <w:rsid w:val="00E60F3A"/>
    <w:rsid w:val="00E6743E"/>
    <w:rsid w:val="00E770F7"/>
    <w:rsid w:val="00E77C14"/>
    <w:rsid w:val="00E81E1F"/>
    <w:rsid w:val="00E821A0"/>
    <w:rsid w:val="00E9182C"/>
    <w:rsid w:val="00E922D6"/>
    <w:rsid w:val="00EB5139"/>
    <w:rsid w:val="00ED38A5"/>
    <w:rsid w:val="00EE61FF"/>
    <w:rsid w:val="00EF445C"/>
    <w:rsid w:val="00EF58CA"/>
    <w:rsid w:val="00F03E93"/>
    <w:rsid w:val="00F0669D"/>
    <w:rsid w:val="00F129C2"/>
    <w:rsid w:val="00F133EB"/>
    <w:rsid w:val="00F14A68"/>
    <w:rsid w:val="00F25465"/>
    <w:rsid w:val="00F25621"/>
    <w:rsid w:val="00F43A4E"/>
    <w:rsid w:val="00F4702B"/>
    <w:rsid w:val="00F47BE3"/>
    <w:rsid w:val="00F556F9"/>
    <w:rsid w:val="00F61EAF"/>
    <w:rsid w:val="00F65C1F"/>
    <w:rsid w:val="00F6632B"/>
    <w:rsid w:val="00F85EF3"/>
    <w:rsid w:val="00F91245"/>
    <w:rsid w:val="00F926AC"/>
    <w:rsid w:val="00FA0CC4"/>
    <w:rsid w:val="00FA21B5"/>
    <w:rsid w:val="00FB30C6"/>
    <w:rsid w:val="00FB5B75"/>
    <w:rsid w:val="00FC0429"/>
    <w:rsid w:val="00FD17B4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BB7B9A9-E13C-41C3-A56A-07A9D2F0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link w:val="Zkladntextodsazen3Char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0054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Zkladntextodsazen3Char">
    <w:name w:val="Základní text odsazený 3 Char"/>
    <w:link w:val="Zkladntextodsazen3"/>
    <w:rsid w:val="00F65C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17C6-7B0A-4CD3-9B20-B70492A1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Věra Krejčí</dc:creator>
  <cp:lastModifiedBy>Zhánělová Drahomíra</cp:lastModifiedBy>
  <cp:revision>5</cp:revision>
  <cp:lastPrinted>2021-05-27T06:44:00Z</cp:lastPrinted>
  <dcterms:created xsi:type="dcterms:W3CDTF">2021-06-02T09:49:00Z</dcterms:created>
  <dcterms:modified xsi:type="dcterms:W3CDTF">2021-06-03T13:14:00Z</dcterms:modified>
</cp:coreProperties>
</file>