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E3" w:rsidRPr="00655F37" w:rsidRDefault="001557E3">
      <w:pPr>
        <w:tabs>
          <w:tab w:val="left" w:pos="1620"/>
        </w:tabs>
        <w:ind w:left="1620" w:hanging="1620"/>
        <w:jc w:val="both"/>
        <w:rPr>
          <w:rFonts w:ascii="Arial" w:hAnsi="Arial" w:cs="Arial"/>
          <w:bCs/>
          <w:sz w:val="20"/>
          <w:szCs w:val="20"/>
        </w:rPr>
      </w:pPr>
    </w:p>
    <w:p w:rsidR="00F550AE" w:rsidRPr="003D18AD" w:rsidRDefault="00354CAE" w:rsidP="00F86296">
      <w:pPr>
        <w:tabs>
          <w:tab w:val="left" w:pos="1620"/>
        </w:tabs>
        <w:ind w:left="1620" w:hanging="1620"/>
        <w:jc w:val="both"/>
        <w:rPr>
          <w:rFonts w:ascii="Arial" w:hAnsi="Arial" w:cs="Arial"/>
          <w:bCs/>
          <w:sz w:val="20"/>
          <w:szCs w:val="20"/>
        </w:rPr>
      </w:pPr>
      <w:r w:rsidRPr="00655F37">
        <w:rPr>
          <w:rFonts w:ascii="Arial" w:hAnsi="Arial" w:cs="Arial"/>
          <w:bCs/>
          <w:sz w:val="20"/>
          <w:szCs w:val="20"/>
        </w:rPr>
        <w:tab/>
      </w:r>
      <w:r w:rsidRPr="00655F37">
        <w:rPr>
          <w:rFonts w:ascii="Arial" w:hAnsi="Arial" w:cs="Arial"/>
          <w:bCs/>
          <w:sz w:val="20"/>
          <w:szCs w:val="20"/>
        </w:rPr>
        <w:tab/>
      </w:r>
      <w:r w:rsidRPr="00655F37">
        <w:rPr>
          <w:rFonts w:ascii="Arial" w:hAnsi="Arial" w:cs="Arial"/>
          <w:bCs/>
          <w:sz w:val="20"/>
          <w:szCs w:val="20"/>
        </w:rPr>
        <w:tab/>
      </w:r>
      <w:r w:rsidRPr="00655F37">
        <w:rPr>
          <w:rFonts w:ascii="Arial" w:hAnsi="Arial" w:cs="Arial"/>
          <w:bCs/>
          <w:sz w:val="20"/>
          <w:szCs w:val="20"/>
        </w:rPr>
        <w:tab/>
      </w:r>
      <w:r w:rsidRPr="00655F37">
        <w:rPr>
          <w:rFonts w:ascii="Arial" w:hAnsi="Arial" w:cs="Arial"/>
          <w:bCs/>
          <w:sz w:val="20"/>
          <w:szCs w:val="20"/>
        </w:rPr>
        <w:tab/>
      </w:r>
      <w:r w:rsidRPr="00655F37">
        <w:rPr>
          <w:rFonts w:ascii="Arial" w:hAnsi="Arial" w:cs="Arial"/>
          <w:bCs/>
          <w:sz w:val="20"/>
          <w:szCs w:val="20"/>
        </w:rPr>
        <w:tab/>
      </w:r>
      <w:r w:rsidRPr="000B51A5">
        <w:rPr>
          <w:rFonts w:ascii="Arial" w:hAnsi="Arial" w:cs="Arial"/>
          <w:bCs/>
          <w:sz w:val="20"/>
          <w:szCs w:val="20"/>
        </w:rPr>
        <w:t>Předkládá:</w:t>
      </w:r>
      <w:r w:rsidRPr="000B51A5">
        <w:rPr>
          <w:rFonts w:ascii="Arial" w:hAnsi="Arial" w:cs="Arial"/>
          <w:bCs/>
          <w:sz w:val="20"/>
          <w:szCs w:val="20"/>
        </w:rPr>
        <w:tab/>
      </w:r>
      <w:r w:rsidR="00CD111F" w:rsidRPr="003D18AD">
        <w:rPr>
          <w:rFonts w:ascii="Arial" w:hAnsi="Arial" w:cs="Arial"/>
          <w:bCs/>
          <w:sz w:val="20"/>
          <w:szCs w:val="20"/>
        </w:rPr>
        <w:t xml:space="preserve">Mgr. </w:t>
      </w:r>
      <w:r w:rsidR="00F86296" w:rsidRPr="003D18AD">
        <w:rPr>
          <w:rFonts w:ascii="Arial" w:hAnsi="Arial" w:cs="Arial"/>
          <w:bCs/>
          <w:sz w:val="20"/>
          <w:szCs w:val="20"/>
        </w:rPr>
        <w:t>František Jura,</w:t>
      </w:r>
      <w:r w:rsidR="007307FB" w:rsidRPr="003D18AD">
        <w:rPr>
          <w:rFonts w:ascii="Arial" w:hAnsi="Arial" w:cs="Arial"/>
          <w:bCs/>
          <w:sz w:val="20"/>
          <w:szCs w:val="20"/>
        </w:rPr>
        <w:t xml:space="preserve"> </w:t>
      </w:r>
    </w:p>
    <w:p w:rsidR="00B92A9B" w:rsidRPr="000B51A5" w:rsidRDefault="00F550AE" w:rsidP="00F86296">
      <w:pPr>
        <w:tabs>
          <w:tab w:val="left" w:pos="1620"/>
        </w:tabs>
        <w:ind w:left="1620" w:hanging="1620"/>
        <w:jc w:val="both"/>
        <w:rPr>
          <w:rFonts w:ascii="Arial" w:hAnsi="Arial" w:cs="Arial"/>
          <w:bCs/>
          <w:sz w:val="20"/>
          <w:szCs w:val="20"/>
        </w:rPr>
      </w:pPr>
      <w:r w:rsidRPr="003D18AD">
        <w:rPr>
          <w:rFonts w:ascii="Arial" w:hAnsi="Arial" w:cs="Arial"/>
          <w:bCs/>
          <w:sz w:val="20"/>
          <w:szCs w:val="20"/>
        </w:rPr>
        <w:tab/>
      </w:r>
      <w:r w:rsidRPr="003D18AD">
        <w:rPr>
          <w:rFonts w:ascii="Arial" w:hAnsi="Arial" w:cs="Arial"/>
          <w:bCs/>
          <w:sz w:val="20"/>
          <w:szCs w:val="20"/>
        </w:rPr>
        <w:tab/>
      </w:r>
      <w:r w:rsidRPr="003D18AD">
        <w:rPr>
          <w:rFonts w:ascii="Arial" w:hAnsi="Arial" w:cs="Arial"/>
          <w:bCs/>
          <w:sz w:val="20"/>
          <w:szCs w:val="20"/>
        </w:rPr>
        <w:tab/>
      </w:r>
      <w:r w:rsidRPr="003D18AD">
        <w:rPr>
          <w:rFonts w:ascii="Arial" w:hAnsi="Arial" w:cs="Arial"/>
          <w:bCs/>
          <w:sz w:val="20"/>
          <w:szCs w:val="20"/>
        </w:rPr>
        <w:tab/>
      </w:r>
      <w:r w:rsidRPr="003D18AD">
        <w:rPr>
          <w:rFonts w:ascii="Arial" w:hAnsi="Arial" w:cs="Arial"/>
          <w:bCs/>
          <w:sz w:val="20"/>
          <w:szCs w:val="20"/>
        </w:rPr>
        <w:tab/>
      </w:r>
      <w:r w:rsidRPr="003D18AD">
        <w:rPr>
          <w:rFonts w:ascii="Arial" w:hAnsi="Arial" w:cs="Arial"/>
          <w:bCs/>
          <w:sz w:val="20"/>
          <w:szCs w:val="20"/>
        </w:rPr>
        <w:tab/>
      </w:r>
      <w:r w:rsidRPr="003D18AD">
        <w:rPr>
          <w:rFonts w:ascii="Arial" w:hAnsi="Arial" w:cs="Arial"/>
          <w:bCs/>
          <w:sz w:val="20"/>
          <w:szCs w:val="20"/>
        </w:rPr>
        <w:tab/>
      </w:r>
      <w:r w:rsidRPr="003D18AD">
        <w:rPr>
          <w:rFonts w:ascii="Arial" w:hAnsi="Arial" w:cs="Arial"/>
          <w:bCs/>
          <w:sz w:val="20"/>
          <w:szCs w:val="20"/>
        </w:rPr>
        <w:tab/>
      </w:r>
      <w:r w:rsidR="007307FB" w:rsidRPr="003D18AD">
        <w:rPr>
          <w:rFonts w:ascii="Arial" w:hAnsi="Arial" w:cs="Arial"/>
          <w:bCs/>
          <w:sz w:val="20"/>
          <w:szCs w:val="20"/>
        </w:rPr>
        <w:t>primátor</w:t>
      </w:r>
    </w:p>
    <w:p w:rsidR="00354CAE" w:rsidRPr="000B51A5" w:rsidRDefault="00354CAE">
      <w:pPr>
        <w:tabs>
          <w:tab w:val="left" w:pos="1620"/>
        </w:tabs>
        <w:ind w:left="1620" w:hanging="1620"/>
        <w:jc w:val="both"/>
        <w:rPr>
          <w:rFonts w:ascii="Arial" w:hAnsi="Arial" w:cs="Arial"/>
          <w:bCs/>
          <w:sz w:val="20"/>
          <w:szCs w:val="20"/>
        </w:rPr>
      </w:pPr>
    </w:p>
    <w:p w:rsidR="00655F37" w:rsidRPr="000B51A5" w:rsidRDefault="00354CAE" w:rsidP="00F86296">
      <w:pPr>
        <w:tabs>
          <w:tab w:val="left" w:pos="4820"/>
          <w:tab w:val="left" w:pos="4962"/>
        </w:tabs>
        <w:ind w:left="6372" w:hanging="6372"/>
        <w:jc w:val="both"/>
        <w:rPr>
          <w:rFonts w:ascii="Arial" w:hAnsi="Arial" w:cs="Arial"/>
          <w:bCs/>
          <w:sz w:val="20"/>
          <w:szCs w:val="20"/>
        </w:rPr>
      </w:pPr>
      <w:r w:rsidRPr="000B51A5">
        <w:rPr>
          <w:rFonts w:ascii="Arial" w:hAnsi="Arial" w:cs="Arial"/>
          <w:bCs/>
          <w:sz w:val="20"/>
          <w:szCs w:val="20"/>
        </w:rPr>
        <w:tab/>
      </w:r>
      <w:r w:rsidRPr="000B51A5">
        <w:rPr>
          <w:rFonts w:ascii="Arial" w:hAnsi="Arial" w:cs="Arial"/>
          <w:bCs/>
          <w:sz w:val="20"/>
          <w:szCs w:val="20"/>
        </w:rPr>
        <w:tab/>
        <w:t>Zpracova</w:t>
      </w:r>
      <w:r w:rsidR="004264AF">
        <w:rPr>
          <w:rFonts w:ascii="Arial" w:hAnsi="Arial" w:cs="Arial"/>
          <w:bCs/>
          <w:sz w:val="20"/>
          <w:szCs w:val="20"/>
        </w:rPr>
        <w:t>la</w:t>
      </w:r>
      <w:r w:rsidRPr="000B51A5">
        <w:rPr>
          <w:rFonts w:ascii="Arial" w:hAnsi="Arial" w:cs="Arial"/>
          <w:bCs/>
          <w:sz w:val="20"/>
          <w:szCs w:val="20"/>
        </w:rPr>
        <w:t>:</w:t>
      </w:r>
      <w:r w:rsidR="007307FB" w:rsidRPr="000B51A5">
        <w:rPr>
          <w:rFonts w:ascii="Arial" w:hAnsi="Arial" w:cs="Arial"/>
          <w:bCs/>
          <w:sz w:val="20"/>
          <w:szCs w:val="20"/>
        </w:rPr>
        <w:tab/>
      </w:r>
      <w:r w:rsidR="00161434" w:rsidRPr="000B51A5">
        <w:rPr>
          <w:rFonts w:ascii="Arial" w:hAnsi="Arial" w:cs="Arial"/>
          <w:bCs/>
          <w:sz w:val="20"/>
          <w:szCs w:val="20"/>
        </w:rPr>
        <w:t>JUDr. Lenka Antoníčková</w:t>
      </w:r>
      <w:r w:rsidR="00F86296" w:rsidRPr="000B51A5">
        <w:rPr>
          <w:rFonts w:ascii="Arial" w:hAnsi="Arial" w:cs="Arial"/>
          <w:bCs/>
          <w:sz w:val="20"/>
          <w:szCs w:val="20"/>
        </w:rPr>
        <w:t xml:space="preserve">, </w:t>
      </w:r>
    </w:p>
    <w:p w:rsidR="00354CAE" w:rsidRPr="00655F37" w:rsidRDefault="00655F37" w:rsidP="000B51A5">
      <w:pPr>
        <w:tabs>
          <w:tab w:val="left" w:pos="4820"/>
          <w:tab w:val="left" w:pos="4962"/>
        </w:tabs>
        <w:ind w:left="6372" w:hanging="6372"/>
        <w:rPr>
          <w:rFonts w:ascii="Arial" w:hAnsi="Arial" w:cs="Arial"/>
          <w:sz w:val="20"/>
          <w:szCs w:val="20"/>
        </w:rPr>
      </w:pPr>
      <w:r w:rsidRPr="000B51A5">
        <w:rPr>
          <w:rFonts w:ascii="Arial" w:hAnsi="Arial" w:cs="Arial"/>
          <w:bCs/>
          <w:sz w:val="20"/>
          <w:szCs w:val="20"/>
        </w:rPr>
        <w:tab/>
      </w:r>
      <w:r w:rsidRPr="000B51A5">
        <w:rPr>
          <w:rFonts w:ascii="Arial" w:hAnsi="Arial" w:cs="Arial"/>
          <w:bCs/>
          <w:sz w:val="20"/>
          <w:szCs w:val="20"/>
        </w:rPr>
        <w:tab/>
      </w:r>
      <w:r w:rsidRPr="000B51A5">
        <w:rPr>
          <w:rFonts w:ascii="Arial" w:hAnsi="Arial" w:cs="Arial"/>
          <w:bCs/>
          <w:sz w:val="20"/>
          <w:szCs w:val="20"/>
        </w:rPr>
        <w:tab/>
      </w:r>
      <w:r w:rsidR="004327C3" w:rsidRPr="000B51A5">
        <w:rPr>
          <w:rFonts w:ascii="Arial" w:hAnsi="Arial" w:cs="Arial"/>
          <w:bCs/>
          <w:sz w:val="20"/>
          <w:szCs w:val="20"/>
        </w:rPr>
        <w:t>p</w:t>
      </w:r>
      <w:r w:rsidR="00161434" w:rsidRPr="000B51A5">
        <w:rPr>
          <w:rFonts w:ascii="Arial" w:hAnsi="Arial" w:cs="Arial"/>
          <w:bCs/>
          <w:sz w:val="20"/>
          <w:szCs w:val="20"/>
        </w:rPr>
        <w:t>rávník Odboru kancelář primátora</w:t>
      </w:r>
      <w:r w:rsidR="00F86296" w:rsidRPr="00655F37">
        <w:rPr>
          <w:rFonts w:ascii="Arial" w:hAnsi="Arial" w:cs="Arial"/>
          <w:bCs/>
          <w:sz w:val="20"/>
          <w:szCs w:val="20"/>
        </w:rPr>
        <w:tab/>
      </w:r>
    </w:p>
    <w:p w:rsidR="00E611EF" w:rsidRPr="00655F37" w:rsidRDefault="00E611EF" w:rsidP="00354CAE">
      <w:pPr>
        <w:tabs>
          <w:tab w:val="left" w:pos="1620"/>
        </w:tabs>
        <w:ind w:left="1620" w:hanging="1620"/>
        <w:rPr>
          <w:rFonts w:ascii="Arial" w:hAnsi="Arial" w:cs="Arial"/>
          <w:bCs/>
          <w:sz w:val="20"/>
          <w:szCs w:val="20"/>
        </w:rPr>
      </w:pPr>
    </w:p>
    <w:p w:rsidR="00354CAE" w:rsidRPr="00655F37" w:rsidRDefault="00354CAE">
      <w:pPr>
        <w:tabs>
          <w:tab w:val="left" w:pos="1620"/>
        </w:tabs>
        <w:ind w:left="1620" w:hanging="1620"/>
        <w:jc w:val="both"/>
        <w:rPr>
          <w:rFonts w:ascii="Arial" w:hAnsi="Arial" w:cs="Arial"/>
          <w:bCs/>
          <w:sz w:val="20"/>
          <w:szCs w:val="20"/>
        </w:rPr>
      </w:pPr>
    </w:p>
    <w:p w:rsidR="00354CAE" w:rsidRPr="00655F37" w:rsidRDefault="00AC3AA4" w:rsidP="00354CAE">
      <w:pPr>
        <w:pBdr>
          <w:bottom w:val="single" w:sz="8" w:space="1" w:color="auto"/>
        </w:pBdr>
        <w:jc w:val="center"/>
        <w:rPr>
          <w:rFonts w:ascii="Arial" w:hAnsi="Arial" w:cs="Arial"/>
          <w:bCs/>
          <w:sz w:val="36"/>
          <w:szCs w:val="36"/>
        </w:rPr>
      </w:pPr>
      <w:r>
        <w:rPr>
          <w:rFonts w:ascii="Arial" w:hAnsi="Arial" w:cs="Arial"/>
          <w:bCs/>
          <w:sz w:val="36"/>
          <w:szCs w:val="36"/>
        </w:rPr>
        <w:t xml:space="preserve">Zasedání Zastupitelstva </w:t>
      </w:r>
      <w:r w:rsidR="00354CAE" w:rsidRPr="00655F37">
        <w:rPr>
          <w:rFonts w:ascii="Arial" w:hAnsi="Arial" w:cs="Arial"/>
          <w:bCs/>
          <w:sz w:val="36"/>
          <w:szCs w:val="36"/>
        </w:rPr>
        <w:t>města Prostějova</w:t>
      </w:r>
    </w:p>
    <w:p w:rsidR="00354CAE" w:rsidRPr="00655F37" w:rsidRDefault="00354CAE" w:rsidP="00354CAE">
      <w:pPr>
        <w:pBdr>
          <w:bottom w:val="single" w:sz="8" w:space="1" w:color="auto"/>
        </w:pBdr>
        <w:jc w:val="center"/>
        <w:rPr>
          <w:rFonts w:ascii="Arial" w:hAnsi="Arial" w:cs="Arial"/>
          <w:bCs/>
          <w:sz w:val="36"/>
          <w:szCs w:val="36"/>
        </w:rPr>
      </w:pPr>
      <w:r w:rsidRPr="00655F37">
        <w:rPr>
          <w:rFonts w:ascii="Arial" w:hAnsi="Arial" w:cs="Arial"/>
          <w:bCs/>
          <w:sz w:val="36"/>
          <w:szCs w:val="36"/>
        </w:rPr>
        <w:t>konan</w:t>
      </w:r>
      <w:r w:rsidR="00AC3AA4">
        <w:rPr>
          <w:rFonts w:ascii="Arial" w:hAnsi="Arial" w:cs="Arial"/>
          <w:bCs/>
          <w:sz w:val="36"/>
          <w:szCs w:val="36"/>
        </w:rPr>
        <w:t>é</w:t>
      </w:r>
      <w:r w:rsidRPr="00655F37">
        <w:rPr>
          <w:rFonts w:ascii="Arial" w:hAnsi="Arial" w:cs="Arial"/>
          <w:bCs/>
          <w:sz w:val="36"/>
          <w:szCs w:val="36"/>
        </w:rPr>
        <w:t xml:space="preserve"> dne </w:t>
      </w:r>
      <w:r w:rsidR="00AC3AA4">
        <w:rPr>
          <w:rFonts w:ascii="Arial" w:hAnsi="Arial" w:cs="Arial"/>
          <w:bCs/>
          <w:sz w:val="36"/>
          <w:szCs w:val="36"/>
        </w:rPr>
        <w:t>7. 9</w:t>
      </w:r>
      <w:r w:rsidRPr="000B51A5">
        <w:rPr>
          <w:rFonts w:ascii="Arial" w:hAnsi="Arial" w:cs="Arial"/>
          <w:bCs/>
          <w:sz w:val="36"/>
          <w:szCs w:val="36"/>
        </w:rPr>
        <w:t>.</w:t>
      </w:r>
      <w:r w:rsidR="000B51A5">
        <w:rPr>
          <w:rFonts w:ascii="Arial" w:hAnsi="Arial" w:cs="Arial"/>
          <w:bCs/>
          <w:sz w:val="36"/>
          <w:szCs w:val="36"/>
        </w:rPr>
        <w:t xml:space="preserve"> </w:t>
      </w:r>
      <w:r w:rsidR="006348AD" w:rsidRPr="000B51A5">
        <w:rPr>
          <w:rFonts w:ascii="Arial" w:hAnsi="Arial" w:cs="Arial"/>
          <w:bCs/>
          <w:sz w:val="36"/>
          <w:szCs w:val="36"/>
        </w:rPr>
        <w:t>202</w:t>
      </w:r>
      <w:r w:rsidR="00CF78F9">
        <w:rPr>
          <w:rFonts w:ascii="Arial" w:hAnsi="Arial" w:cs="Arial"/>
          <w:bCs/>
          <w:sz w:val="36"/>
          <w:szCs w:val="36"/>
        </w:rPr>
        <w:t>1</w:t>
      </w:r>
    </w:p>
    <w:p w:rsidR="00A609DC" w:rsidRDefault="00FC118D" w:rsidP="007D2DA1">
      <w:pPr>
        <w:pBdr>
          <w:bottom w:val="single" w:sz="4" w:space="1" w:color="auto"/>
        </w:pBdr>
        <w:spacing w:before="240"/>
        <w:jc w:val="both"/>
        <w:rPr>
          <w:rFonts w:ascii="Arial" w:hAnsi="Arial" w:cs="Arial"/>
          <w:b/>
          <w:sz w:val="28"/>
          <w:szCs w:val="28"/>
        </w:rPr>
      </w:pPr>
      <w:r w:rsidRPr="00FC118D">
        <w:rPr>
          <w:rFonts w:ascii="Arial" w:hAnsi="Arial" w:cs="Arial"/>
          <w:b/>
          <w:sz w:val="28"/>
          <w:szCs w:val="28"/>
        </w:rPr>
        <w:t>Servisní společnost odpady Olomouckého kraje, a.s.</w:t>
      </w:r>
      <w:r>
        <w:rPr>
          <w:rFonts w:ascii="Arial" w:hAnsi="Arial" w:cs="Arial"/>
          <w:b/>
          <w:sz w:val="28"/>
          <w:szCs w:val="28"/>
        </w:rPr>
        <w:t xml:space="preserve"> </w:t>
      </w:r>
      <w:r w:rsidR="00C7628E">
        <w:rPr>
          <w:rFonts w:ascii="Arial" w:hAnsi="Arial" w:cs="Arial"/>
          <w:b/>
          <w:sz w:val="28"/>
          <w:szCs w:val="28"/>
        </w:rPr>
        <w:t>– individuální dotace</w:t>
      </w:r>
    </w:p>
    <w:p w:rsidR="007D2DA1" w:rsidRDefault="007D2DA1">
      <w:pPr>
        <w:pStyle w:val="Zkladntext"/>
        <w:tabs>
          <w:tab w:val="clear" w:pos="0"/>
        </w:tabs>
        <w:rPr>
          <w:rFonts w:ascii="Arial" w:hAnsi="Arial" w:cs="Arial"/>
          <w:sz w:val="24"/>
        </w:rPr>
      </w:pPr>
    </w:p>
    <w:p w:rsidR="00C52E3C" w:rsidRPr="00655F37" w:rsidRDefault="00C52E3C">
      <w:pPr>
        <w:pStyle w:val="Zkladntext"/>
        <w:tabs>
          <w:tab w:val="clear" w:pos="0"/>
        </w:tabs>
        <w:rPr>
          <w:rFonts w:ascii="Arial" w:hAnsi="Arial" w:cs="Arial"/>
          <w:sz w:val="24"/>
        </w:rPr>
      </w:pPr>
      <w:r w:rsidRPr="00655F37">
        <w:rPr>
          <w:rFonts w:ascii="Arial" w:hAnsi="Arial" w:cs="Arial"/>
          <w:sz w:val="24"/>
        </w:rPr>
        <w:t>Návrh usnesení:</w:t>
      </w:r>
    </w:p>
    <w:p w:rsidR="00D1621E" w:rsidRPr="00655F37" w:rsidRDefault="00D1621E" w:rsidP="00B8533E">
      <w:pPr>
        <w:rPr>
          <w:rFonts w:ascii="Arial" w:hAnsi="Arial" w:cs="Arial"/>
          <w:b/>
        </w:rPr>
      </w:pPr>
    </w:p>
    <w:p w:rsidR="00C52E3C" w:rsidRPr="00655F37" w:rsidRDefault="000D157D" w:rsidP="00B8533E">
      <w:pPr>
        <w:rPr>
          <w:rFonts w:ascii="Arial" w:hAnsi="Arial" w:cs="Arial"/>
          <w:b/>
        </w:rPr>
      </w:pPr>
      <w:r>
        <w:rPr>
          <w:rFonts w:ascii="Arial" w:hAnsi="Arial" w:cs="Arial"/>
          <w:b/>
        </w:rPr>
        <w:t xml:space="preserve">Zastupitelstvo </w:t>
      </w:r>
      <w:r w:rsidR="00D1621E" w:rsidRPr="00655F37">
        <w:rPr>
          <w:rFonts w:ascii="Arial" w:hAnsi="Arial" w:cs="Arial"/>
          <w:b/>
        </w:rPr>
        <w:t>města Prostějova</w:t>
      </w:r>
    </w:p>
    <w:p w:rsidR="007307FB" w:rsidRPr="00655F37" w:rsidRDefault="007307FB" w:rsidP="00B8533E">
      <w:pPr>
        <w:rPr>
          <w:rFonts w:ascii="Arial" w:hAnsi="Arial" w:cs="Arial"/>
          <w:b/>
        </w:rPr>
      </w:pPr>
    </w:p>
    <w:p w:rsidR="00977751" w:rsidRPr="005B4BB4" w:rsidRDefault="00977751" w:rsidP="005B4BB4">
      <w:pPr>
        <w:jc w:val="both"/>
        <w:rPr>
          <w:rFonts w:ascii="Arial" w:hAnsi="Arial" w:cs="Arial"/>
          <w:b/>
        </w:rPr>
      </w:pPr>
      <w:r w:rsidRPr="005B4BB4">
        <w:rPr>
          <w:rFonts w:ascii="Arial" w:hAnsi="Arial" w:cs="Arial"/>
          <w:b/>
        </w:rPr>
        <w:t>s ch v </w:t>
      </w:r>
      <w:r w:rsidR="000D157D">
        <w:rPr>
          <w:rFonts w:ascii="Arial" w:hAnsi="Arial" w:cs="Arial"/>
          <w:b/>
        </w:rPr>
        <w:t>a</w:t>
      </w:r>
      <w:r w:rsidRPr="005B4BB4">
        <w:rPr>
          <w:rFonts w:ascii="Arial" w:hAnsi="Arial" w:cs="Arial"/>
          <w:b/>
        </w:rPr>
        <w:t xml:space="preserve"> l</w:t>
      </w:r>
      <w:r w:rsidR="000D157D">
        <w:rPr>
          <w:rFonts w:ascii="Arial" w:hAnsi="Arial" w:cs="Arial"/>
          <w:b/>
        </w:rPr>
        <w:t xml:space="preserve"> u j e </w:t>
      </w:r>
      <w:r w:rsidRPr="005B4BB4">
        <w:rPr>
          <w:rFonts w:ascii="Arial" w:hAnsi="Arial" w:cs="Arial"/>
          <w:b/>
        </w:rPr>
        <w:t xml:space="preserve"> </w:t>
      </w:r>
    </w:p>
    <w:p w:rsidR="007D2DA1" w:rsidRPr="005F7446" w:rsidRDefault="007D2DA1" w:rsidP="007D2DA1">
      <w:pPr>
        <w:pStyle w:val="Odstavecseseznamem"/>
        <w:numPr>
          <w:ilvl w:val="0"/>
          <w:numId w:val="8"/>
        </w:numPr>
        <w:jc w:val="both"/>
        <w:rPr>
          <w:rFonts w:ascii="Arial" w:hAnsi="Arial" w:cs="Arial"/>
          <w:b/>
        </w:rPr>
      </w:pPr>
      <w:r w:rsidRPr="00004872">
        <w:rPr>
          <w:rFonts w:ascii="Arial" w:hAnsi="Arial" w:cs="Arial"/>
          <w:b/>
        </w:rPr>
        <w:t xml:space="preserve">poskytnutí individuální dotace </w:t>
      </w:r>
      <w:r w:rsidRPr="00004872">
        <w:rPr>
          <w:rFonts w:ascii="Arial" w:hAnsi="Arial" w:cs="Arial"/>
          <w:b/>
          <w:bCs/>
        </w:rPr>
        <w:t xml:space="preserve">z rozpočtu statutárního města Prostějova ve výši 88 420,- Kč </w:t>
      </w:r>
      <w:r>
        <w:rPr>
          <w:rFonts w:ascii="Arial" w:hAnsi="Arial" w:cs="Arial"/>
          <w:b/>
          <w:bCs/>
        </w:rPr>
        <w:t xml:space="preserve">příjemci - </w:t>
      </w:r>
      <w:r w:rsidRPr="00004872">
        <w:rPr>
          <w:rFonts w:ascii="Arial" w:hAnsi="Arial" w:cs="Arial"/>
          <w:b/>
        </w:rPr>
        <w:t xml:space="preserve">Servisní společnosti odpady Olomouckého kraje, a.s., se sídlem Jeremenkova </w:t>
      </w:r>
      <w:r w:rsidRPr="005F7446">
        <w:rPr>
          <w:rFonts w:ascii="Arial" w:hAnsi="Arial" w:cs="Arial"/>
          <w:b/>
        </w:rPr>
        <w:t xml:space="preserve">1191/40a, Hodolany, 779 00 Olomouc, </w:t>
      </w:r>
      <w:r w:rsidRPr="005F7446">
        <w:rPr>
          <w:rFonts w:ascii="Arial" w:hAnsi="Arial" w:cs="Arial"/>
          <w:b/>
        </w:rPr>
        <w:br/>
        <w:t>IČ: 07686501 za těchto podmínek:</w:t>
      </w:r>
    </w:p>
    <w:p w:rsidR="007D2DA1" w:rsidRPr="005F7446" w:rsidRDefault="007D2DA1" w:rsidP="007D2DA1">
      <w:pPr>
        <w:pStyle w:val="Odstavecseseznamem"/>
        <w:numPr>
          <w:ilvl w:val="0"/>
          <w:numId w:val="28"/>
        </w:numPr>
        <w:jc w:val="both"/>
        <w:rPr>
          <w:rFonts w:ascii="Arial" w:hAnsi="Arial" w:cs="Arial"/>
          <w:b/>
        </w:rPr>
      </w:pPr>
      <w:r w:rsidRPr="005F7446">
        <w:rPr>
          <w:rFonts w:ascii="Arial" w:hAnsi="Arial" w:cs="Arial"/>
          <w:b/>
        </w:rPr>
        <w:t xml:space="preserve">dotace je účelově vázána na zpracování interních předpisů příjemce, vytvoření informační internetové stránky </w:t>
      </w:r>
      <w:r>
        <w:rPr>
          <w:rFonts w:ascii="Arial" w:hAnsi="Arial" w:cs="Arial"/>
          <w:b/>
        </w:rPr>
        <w:t xml:space="preserve">příjemce </w:t>
      </w:r>
      <w:r w:rsidRPr="005F7446">
        <w:rPr>
          <w:rFonts w:ascii="Arial" w:hAnsi="Arial" w:cs="Arial"/>
          <w:b/>
        </w:rPr>
        <w:t>a přípravu workshopu na téma budoucnosti odpadového hospodářství</w:t>
      </w:r>
    </w:p>
    <w:p w:rsidR="007D2DA1" w:rsidRPr="005F7446" w:rsidRDefault="007D2DA1" w:rsidP="007D2DA1">
      <w:pPr>
        <w:pStyle w:val="Odstavecseseznamem"/>
        <w:numPr>
          <w:ilvl w:val="0"/>
          <w:numId w:val="28"/>
        </w:numPr>
        <w:jc w:val="both"/>
        <w:rPr>
          <w:rFonts w:ascii="Arial" w:hAnsi="Arial" w:cs="Arial"/>
          <w:b/>
        </w:rPr>
      </w:pPr>
      <w:r w:rsidRPr="005F7446">
        <w:rPr>
          <w:rFonts w:ascii="Arial" w:hAnsi="Arial" w:cs="Arial"/>
          <w:b/>
        </w:rPr>
        <w:t xml:space="preserve">dotace bude poskytnuta bezhotovostně, </w:t>
      </w:r>
      <w:r>
        <w:rPr>
          <w:rFonts w:ascii="Arial" w:hAnsi="Arial" w:cs="Arial"/>
          <w:b/>
        </w:rPr>
        <w:t xml:space="preserve">jednorázovým </w:t>
      </w:r>
      <w:r w:rsidRPr="005F7446">
        <w:rPr>
          <w:rFonts w:ascii="Arial" w:hAnsi="Arial" w:cs="Arial"/>
          <w:b/>
        </w:rPr>
        <w:t>převodem na bankovní účet příjemce do 15 pracovních dnů ode dne zveřejnění smlouvy o poskytnutí dotace v registru smluv</w:t>
      </w:r>
    </w:p>
    <w:p w:rsidR="007D2DA1" w:rsidRPr="005F7446" w:rsidRDefault="007D2DA1" w:rsidP="007D2DA1">
      <w:pPr>
        <w:pStyle w:val="Odstavecseseznamem"/>
        <w:numPr>
          <w:ilvl w:val="0"/>
          <w:numId w:val="28"/>
        </w:numPr>
        <w:jc w:val="both"/>
        <w:rPr>
          <w:rFonts w:ascii="Arial" w:hAnsi="Arial" w:cs="Arial"/>
          <w:b/>
        </w:rPr>
      </w:pPr>
      <w:r w:rsidRPr="005F7446">
        <w:rPr>
          <w:rFonts w:ascii="Arial" w:hAnsi="Arial" w:cs="Arial"/>
          <w:b/>
        </w:rPr>
        <w:t xml:space="preserve">dotace bude použita příjemcem nejpozději do </w:t>
      </w:r>
      <w:r>
        <w:rPr>
          <w:rFonts w:ascii="Arial" w:hAnsi="Arial" w:cs="Arial"/>
          <w:b/>
        </w:rPr>
        <w:t>30</w:t>
      </w:r>
      <w:r w:rsidRPr="005F7446">
        <w:rPr>
          <w:rFonts w:ascii="Arial" w:hAnsi="Arial" w:cs="Arial"/>
          <w:b/>
        </w:rPr>
        <w:t xml:space="preserve">. </w:t>
      </w:r>
      <w:r>
        <w:rPr>
          <w:rFonts w:ascii="Arial" w:hAnsi="Arial" w:cs="Arial"/>
          <w:b/>
        </w:rPr>
        <w:t>9</w:t>
      </w:r>
      <w:r w:rsidRPr="005F7446">
        <w:rPr>
          <w:rFonts w:ascii="Arial" w:hAnsi="Arial" w:cs="Arial"/>
          <w:b/>
        </w:rPr>
        <w:t>. 2022</w:t>
      </w:r>
    </w:p>
    <w:p w:rsidR="007D2DA1" w:rsidRPr="005F7446" w:rsidRDefault="007D2DA1" w:rsidP="007D2DA1">
      <w:pPr>
        <w:pStyle w:val="Odstavecseseznamem"/>
        <w:numPr>
          <w:ilvl w:val="0"/>
          <w:numId w:val="28"/>
        </w:numPr>
        <w:jc w:val="both"/>
        <w:rPr>
          <w:rFonts w:ascii="Arial" w:hAnsi="Arial" w:cs="Arial"/>
          <w:b/>
        </w:rPr>
      </w:pPr>
      <w:r w:rsidRPr="005F7446">
        <w:rPr>
          <w:rFonts w:ascii="Arial" w:hAnsi="Arial" w:cs="Arial"/>
          <w:b/>
        </w:rPr>
        <w:t xml:space="preserve">příjemce předloží vyúčtování dotace nejpozději do 31. </w:t>
      </w:r>
      <w:r>
        <w:rPr>
          <w:rFonts w:ascii="Arial" w:hAnsi="Arial" w:cs="Arial"/>
          <w:b/>
        </w:rPr>
        <w:t>12</w:t>
      </w:r>
      <w:r w:rsidRPr="005F7446">
        <w:rPr>
          <w:rFonts w:ascii="Arial" w:hAnsi="Arial" w:cs="Arial"/>
          <w:b/>
        </w:rPr>
        <w:t>. 2022</w:t>
      </w:r>
    </w:p>
    <w:p w:rsidR="007D2DA1" w:rsidRDefault="007D2DA1" w:rsidP="007D2DA1">
      <w:pPr>
        <w:pStyle w:val="Odstavecseseznamem"/>
        <w:numPr>
          <w:ilvl w:val="0"/>
          <w:numId w:val="28"/>
        </w:numPr>
        <w:jc w:val="both"/>
        <w:rPr>
          <w:rFonts w:ascii="Arial" w:hAnsi="Arial" w:cs="Arial"/>
          <w:b/>
        </w:rPr>
      </w:pPr>
      <w:r w:rsidRPr="005F7446">
        <w:rPr>
          <w:rFonts w:ascii="Arial" w:hAnsi="Arial" w:cs="Arial"/>
          <w:b/>
        </w:rPr>
        <w:t>příjemce zveřejní informaci o poskytnutí dotace na svých webových stránkách</w:t>
      </w:r>
    </w:p>
    <w:p w:rsidR="007D2DA1" w:rsidRPr="005F7446" w:rsidRDefault="007D2DA1" w:rsidP="007D2DA1">
      <w:pPr>
        <w:pStyle w:val="Odstavecseseznamem"/>
        <w:ind w:left="1080"/>
        <w:jc w:val="both"/>
        <w:rPr>
          <w:rFonts w:ascii="Arial" w:hAnsi="Arial" w:cs="Arial"/>
          <w:b/>
        </w:rPr>
      </w:pPr>
    </w:p>
    <w:p w:rsidR="007D2DA1" w:rsidRDefault="007D2DA1" w:rsidP="007D2DA1">
      <w:pPr>
        <w:pStyle w:val="Odstavecseseznamem"/>
        <w:numPr>
          <w:ilvl w:val="0"/>
          <w:numId w:val="8"/>
        </w:numPr>
        <w:jc w:val="both"/>
        <w:rPr>
          <w:rFonts w:ascii="Arial" w:hAnsi="Arial" w:cs="Arial"/>
          <w:b/>
        </w:rPr>
      </w:pPr>
      <w:r w:rsidRPr="00990667">
        <w:rPr>
          <w:rFonts w:ascii="Arial" w:eastAsia="Calibri" w:hAnsi="Arial" w:cs="Arial"/>
          <w:b/>
          <w:bCs/>
          <w:lang w:eastAsia="en-US"/>
        </w:rPr>
        <w:t>uzavření veřejnoprávní sml</w:t>
      </w:r>
      <w:r>
        <w:rPr>
          <w:rFonts w:ascii="Arial" w:eastAsia="Calibri" w:hAnsi="Arial" w:cs="Arial"/>
          <w:b/>
          <w:bCs/>
          <w:lang w:eastAsia="en-US"/>
        </w:rPr>
        <w:t>ouvy</w:t>
      </w:r>
      <w:r w:rsidRPr="00990667">
        <w:rPr>
          <w:rFonts w:ascii="Arial" w:eastAsia="Calibri" w:hAnsi="Arial" w:cs="Arial"/>
          <w:b/>
          <w:bCs/>
          <w:lang w:eastAsia="en-US"/>
        </w:rPr>
        <w:t xml:space="preserve"> o poskytnutí dotace mezi statutárním městem Prostěj</w:t>
      </w:r>
      <w:r>
        <w:rPr>
          <w:rFonts w:ascii="Arial" w:eastAsia="Calibri" w:hAnsi="Arial" w:cs="Arial"/>
          <w:b/>
          <w:bCs/>
          <w:lang w:eastAsia="en-US"/>
        </w:rPr>
        <w:t xml:space="preserve">ov a příjemcem </w:t>
      </w:r>
      <w:r w:rsidRPr="0094375A">
        <w:rPr>
          <w:rFonts w:ascii="Arial" w:hAnsi="Arial" w:cs="Arial"/>
          <w:b/>
        </w:rPr>
        <w:t>Servisní společnost odpady Olomouckého kraje, a.s., se sídlem Jeremenkova 1191/40a, Hodolany, 779 00 Olomouc,</w:t>
      </w:r>
      <w:r>
        <w:rPr>
          <w:rFonts w:ascii="Arial" w:hAnsi="Arial" w:cs="Arial"/>
          <w:b/>
        </w:rPr>
        <w:br/>
      </w:r>
      <w:r w:rsidRPr="0094375A">
        <w:rPr>
          <w:rFonts w:ascii="Arial" w:hAnsi="Arial" w:cs="Arial"/>
          <w:b/>
        </w:rPr>
        <w:t>IČ: 07686501</w:t>
      </w:r>
      <w:r>
        <w:rPr>
          <w:rFonts w:ascii="Arial" w:hAnsi="Arial" w:cs="Arial"/>
          <w:b/>
        </w:rPr>
        <w:t xml:space="preserve"> ve znění dle přílohy č. 1 tohoto materiálu</w:t>
      </w:r>
    </w:p>
    <w:p w:rsidR="007D2DA1" w:rsidRDefault="007D2DA1" w:rsidP="007D2DA1">
      <w:pPr>
        <w:pStyle w:val="Odstavecseseznamem"/>
        <w:jc w:val="both"/>
        <w:rPr>
          <w:rFonts w:ascii="Arial" w:hAnsi="Arial" w:cs="Arial"/>
          <w:b/>
        </w:rPr>
      </w:pPr>
    </w:p>
    <w:p w:rsidR="007D2DA1" w:rsidRDefault="007D2DA1" w:rsidP="007D2DA1">
      <w:pPr>
        <w:pStyle w:val="Odstavecseseznamem"/>
        <w:numPr>
          <w:ilvl w:val="0"/>
          <w:numId w:val="8"/>
        </w:numPr>
        <w:jc w:val="both"/>
        <w:rPr>
          <w:rFonts w:ascii="Arial" w:hAnsi="Arial" w:cs="Arial"/>
          <w:b/>
        </w:rPr>
      </w:pPr>
      <w:proofErr w:type="gramStart"/>
      <w:r w:rsidRPr="00A1456F">
        <w:rPr>
          <w:rFonts w:ascii="Arial" w:hAnsi="Arial" w:cs="Arial"/>
          <w:b/>
        </w:rPr>
        <w:t>rozpočtové</w:t>
      </w:r>
      <w:proofErr w:type="gramEnd"/>
      <w:r w:rsidRPr="00A1456F">
        <w:rPr>
          <w:rFonts w:ascii="Arial" w:hAnsi="Arial" w:cs="Arial"/>
          <w:b/>
        </w:rPr>
        <w:t xml:space="preserve"> opatření, kterým </w:t>
      </w:r>
      <w:proofErr w:type="gramStart"/>
      <w:r w:rsidRPr="00A1456F">
        <w:rPr>
          <w:rFonts w:ascii="Arial" w:hAnsi="Arial" w:cs="Arial"/>
          <w:b/>
        </w:rPr>
        <w:t>se</w:t>
      </w:r>
      <w:proofErr w:type="gramEnd"/>
    </w:p>
    <w:p w:rsidR="007D2DA1" w:rsidRPr="00A1456F" w:rsidRDefault="007D2DA1" w:rsidP="007D2DA1">
      <w:pPr>
        <w:rPr>
          <w:rFonts w:ascii="Calibri" w:eastAsia="Calibri" w:hAnsi="Calibri" w:cs="Calibri"/>
          <w:sz w:val="22"/>
          <w:szCs w:val="22"/>
          <w:lang w:eastAsia="en-US"/>
        </w:rPr>
      </w:pPr>
    </w:p>
    <w:p w:rsidR="007D2DA1" w:rsidRPr="00A1456F" w:rsidRDefault="007D2DA1" w:rsidP="007D2DA1">
      <w:pPr>
        <w:numPr>
          <w:ilvl w:val="0"/>
          <w:numId w:val="30"/>
        </w:numPr>
        <w:ind w:left="142" w:hanging="142"/>
        <w:rPr>
          <w:rFonts w:ascii="Arial" w:hAnsi="Arial" w:cs="Arial"/>
          <w:b/>
          <w:bCs/>
        </w:rPr>
      </w:pPr>
      <w:r w:rsidRPr="00A1456F">
        <w:rPr>
          <w:rFonts w:ascii="Arial" w:hAnsi="Arial" w:cs="Arial"/>
          <w:b/>
          <w:bCs/>
        </w:rPr>
        <w:t>zvyšuje rozpočet výdajů</w:t>
      </w:r>
    </w:p>
    <w:tbl>
      <w:tblPr>
        <w:tblW w:w="0" w:type="dxa"/>
        <w:tblInd w:w="70" w:type="dxa"/>
        <w:tblCellMar>
          <w:left w:w="0" w:type="dxa"/>
          <w:right w:w="0" w:type="dxa"/>
        </w:tblCellMar>
        <w:tblLook w:val="04A0" w:firstRow="1" w:lastRow="0" w:firstColumn="1" w:lastColumn="0" w:noHBand="0" w:noVBand="1"/>
      </w:tblPr>
      <w:tblGrid>
        <w:gridCol w:w="1315"/>
        <w:gridCol w:w="1115"/>
        <w:gridCol w:w="706"/>
        <w:gridCol w:w="683"/>
        <w:gridCol w:w="1322"/>
        <w:gridCol w:w="2101"/>
        <w:gridCol w:w="2024"/>
      </w:tblGrid>
      <w:tr w:rsidR="007D2DA1" w:rsidRPr="00A1456F" w:rsidTr="007F11C1">
        <w:trPr>
          <w:cantSplit/>
          <w:trHeight w:val="147"/>
        </w:trPr>
        <w:tc>
          <w:tcPr>
            <w:tcW w:w="13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Kapitola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ODPA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proofErr w:type="spellStart"/>
            <w:r w:rsidRPr="00A1456F">
              <w:rPr>
                <w:rFonts w:ascii="Arial" w:hAnsi="Arial" w:cs="Arial"/>
                <w:b/>
                <w:bCs/>
              </w:rPr>
              <w:t>Pol</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ZP</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UZ</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Organizace</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O hodnotu v Kč</w:t>
            </w:r>
          </w:p>
        </w:tc>
      </w:tr>
      <w:tr w:rsidR="007D2DA1" w:rsidRPr="00A1456F" w:rsidTr="007F11C1">
        <w:trPr>
          <w:cantSplit/>
          <w:trHeight w:val="147"/>
        </w:trPr>
        <w:tc>
          <w:tcPr>
            <w:tcW w:w="13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0010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003722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5213</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Calibri" w:eastAsia="Calibri" w:hAnsi="Calibri" w:cs="Calibri"/>
                <w:lang w:eastAsia="en-US"/>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sz w:val="20"/>
                <w:szCs w:val="20"/>
              </w:rPr>
            </w:pP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eastAsia="Calibri" w:hAnsi="Arial" w:cs="Arial"/>
                <w:b/>
                <w:bCs/>
                <w:lang w:eastAsia="en-US"/>
              </w:rPr>
            </w:pPr>
            <w:r w:rsidRPr="00A1456F">
              <w:rPr>
                <w:rFonts w:ascii="Arial" w:hAnsi="Arial" w:cs="Arial"/>
                <w:b/>
                <w:bCs/>
              </w:rPr>
              <w:t>0100000000000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jc w:val="right"/>
              <w:rPr>
                <w:rFonts w:ascii="Arial" w:hAnsi="Arial" w:cs="Arial"/>
                <w:b/>
                <w:bCs/>
              </w:rPr>
            </w:pPr>
            <w:r>
              <w:rPr>
                <w:rFonts w:ascii="Arial" w:hAnsi="Arial" w:cs="Arial"/>
                <w:b/>
                <w:bCs/>
              </w:rPr>
              <w:t>88 420,-</w:t>
            </w:r>
          </w:p>
        </w:tc>
      </w:tr>
      <w:tr w:rsidR="007D2DA1" w:rsidRPr="00A1456F" w:rsidTr="007F11C1">
        <w:trPr>
          <w:cantSplit/>
          <w:trHeight w:val="147"/>
        </w:trPr>
        <w:tc>
          <w:tcPr>
            <w:tcW w:w="9561"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eastAsia="Calibri" w:hAnsi="Arial" w:cs="Arial"/>
                <w:b/>
                <w:bCs/>
                <w:lang w:eastAsia="en-US"/>
              </w:rPr>
            </w:pPr>
            <w:r w:rsidRPr="00A1456F">
              <w:rPr>
                <w:rFonts w:ascii="Arial" w:eastAsia="Calibri" w:hAnsi="Arial" w:cs="Arial"/>
                <w:b/>
                <w:bCs/>
                <w:sz w:val="22"/>
                <w:szCs w:val="22"/>
                <w:lang w:eastAsia="en-US"/>
              </w:rPr>
              <w:t>Zvýšení položky 5213 – neinvestiční transfery nefinančním podnikatelským subjektům – právnickým osobám (Servisní společnost odpady Olomouckého kraje, a. s.)</w:t>
            </w:r>
          </w:p>
        </w:tc>
      </w:tr>
    </w:tbl>
    <w:p w:rsidR="007D2DA1" w:rsidRPr="00A1456F" w:rsidRDefault="007D2DA1" w:rsidP="007D2DA1">
      <w:pPr>
        <w:jc w:val="both"/>
        <w:rPr>
          <w:rFonts w:ascii="Arial" w:eastAsia="Calibri" w:hAnsi="Arial" w:cs="Arial"/>
          <w:sz w:val="20"/>
          <w:szCs w:val="20"/>
        </w:rPr>
      </w:pPr>
    </w:p>
    <w:p w:rsidR="007D2DA1" w:rsidRPr="00A1456F" w:rsidRDefault="007D2DA1" w:rsidP="007D2DA1">
      <w:pPr>
        <w:numPr>
          <w:ilvl w:val="0"/>
          <w:numId w:val="30"/>
        </w:numPr>
        <w:ind w:left="142" w:hanging="142"/>
        <w:contextualSpacing/>
        <w:rPr>
          <w:rFonts w:ascii="Arial" w:eastAsia="Calibri" w:hAnsi="Arial" w:cs="Arial"/>
          <w:b/>
          <w:bCs/>
          <w:lang w:eastAsia="en-US"/>
        </w:rPr>
      </w:pPr>
      <w:r w:rsidRPr="00A1456F">
        <w:rPr>
          <w:rFonts w:ascii="Arial" w:eastAsia="Calibri" w:hAnsi="Arial" w:cs="Arial"/>
          <w:b/>
          <w:bCs/>
        </w:rPr>
        <w:t>snižuje rozpočet výdajů</w:t>
      </w:r>
    </w:p>
    <w:tbl>
      <w:tblPr>
        <w:tblW w:w="0" w:type="dxa"/>
        <w:tblInd w:w="70" w:type="dxa"/>
        <w:tblCellMar>
          <w:left w:w="0" w:type="dxa"/>
          <w:right w:w="0" w:type="dxa"/>
        </w:tblCellMar>
        <w:tblLook w:val="04A0" w:firstRow="1" w:lastRow="0" w:firstColumn="1" w:lastColumn="0" w:noHBand="0" w:noVBand="1"/>
      </w:tblPr>
      <w:tblGrid>
        <w:gridCol w:w="1315"/>
        <w:gridCol w:w="1115"/>
        <w:gridCol w:w="706"/>
        <w:gridCol w:w="683"/>
        <w:gridCol w:w="1322"/>
        <w:gridCol w:w="2101"/>
        <w:gridCol w:w="2024"/>
      </w:tblGrid>
      <w:tr w:rsidR="007D2DA1" w:rsidRPr="00A1456F" w:rsidTr="007F11C1">
        <w:trPr>
          <w:cantSplit/>
          <w:trHeight w:val="147"/>
        </w:trPr>
        <w:tc>
          <w:tcPr>
            <w:tcW w:w="13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Kapitola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lang w:eastAsia="en-US"/>
              </w:rPr>
            </w:pPr>
            <w:r w:rsidRPr="00A1456F">
              <w:rPr>
                <w:rFonts w:ascii="Arial" w:hAnsi="Arial" w:cs="Arial"/>
                <w:b/>
                <w:bCs/>
              </w:rPr>
              <w:t>ODPA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proofErr w:type="spellStart"/>
            <w:r w:rsidRPr="00A1456F">
              <w:rPr>
                <w:rFonts w:ascii="Arial" w:hAnsi="Arial" w:cs="Arial"/>
                <w:b/>
                <w:bCs/>
              </w:rPr>
              <w:t>Pol</w:t>
            </w:r>
            <w:proofErr w:type="spellEnd"/>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ZP</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UZ</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Organizace</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O hodnotu v Kč</w:t>
            </w:r>
          </w:p>
        </w:tc>
      </w:tr>
      <w:tr w:rsidR="007D2DA1" w:rsidRPr="00A1456F" w:rsidTr="007F11C1">
        <w:trPr>
          <w:cantSplit/>
          <w:trHeight w:val="147"/>
        </w:trPr>
        <w:tc>
          <w:tcPr>
            <w:tcW w:w="13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0070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006409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hAnsi="Arial" w:cs="Arial"/>
                <w:b/>
                <w:bCs/>
              </w:rPr>
            </w:pPr>
            <w:r w:rsidRPr="00A1456F">
              <w:rPr>
                <w:rFonts w:ascii="Arial" w:hAnsi="Arial" w:cs="Arial"/>
                <w:b/>
                <w:bCs/>
              </w:rPr>
              <w:t>5901</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Calibri" w:eastAsia="Calibri" w:hAnsi="Calibri" w:cs="Calibri"/>
                <w:lang w:eastAsia="en-US"/>
              </w:rPr>
            </w:pP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sz w:val="20"/>
                <w:szCs w:val="20"/>
              </w:rPr>
            </w:pP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eastAsia="Calibri" w:hAnsi="Arial" w:cs="Arial"/>
                <w:b/>
                <w:bCs/>
                <w:lang w:eastAsia="en-US"/>
              </w:rPr>
            </w:pPr>
            <w:r w:rsidRPr="00A1456F">
              <w:rPr>
                <w:rFonts w:ascii="Arial" w:hAnsi="Arial" w:cs="Arial"/>
                <w:b/>
                <w:bCs/>
              </w:rPr>
              <w:t>0700000707100</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jc w:val="right"/>
              <w:rPr>
                <w:rFonts w:ascii="Arial" w:hAnsi="Arial" w:cs="Arial"/>
                <w:b/>
                <w:bCs/>
              </w:rPr>
            </w:pPr>
            <w:r>
              <w:rPr>
                <w:rFonts w:ascii="Arial" w:hAnsi="Arial" w:cs="Arial"/>
                <w:b/>
                <w:bCs/>
              </w:rPr>
              <w:t>88 420,-</w:t>
            </w:r>
          </w:p>
        </w:tc>
      </w:tr>
      <w:tr w:rsidR="007D2DA1" w:rsidRPr="00A1456F" w:rsidTr="007F11C1">
        <w:trPr>
          <w:cantSplit/>
          <w:trHeight w:val="147"/>
        </w:trPr>
        <w:tc>
          <w:tcPr>
            <w:tcW w:w="9561"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D2DA1" w:rsidRPr="00A1456F" w:rsidRDefault="007D2DA1" w:rsidP="007F11C1">
            <w:pPr>
              <w:rPr>
                <w:rFonts w:ascii="Arial" w:eastAsia="Calibri" w:hAnsi="Arial" w:cs="Arial"/>
                <w:b/>
                <w:bCs/>
                <w:lang w:eastAsia="en-US"/>
              </w:rPr>
            </w:pPr>
            <w:r w:rsidRPr="00A1456F">
              <w:rPr>
                <w:rFonts w:ascii="Arial" w:eastAsia="Calibri" w:hAnsi="Arial" w:cs="Arial"/>
                <w:b/>
                <w:bCs/>
                <w:sz w:val="22"/>
                <w:szCs w:val="22"/>
                <w:lang w:eastAsia="en-US"/>
              </w:rPr>
              <w:t>Snížení položky 5901 – Rezerva RMP</w:t>
            </w:r>
          </w:p>
        </w:tc>
      </w:tr>
    </w:tbl>
    <w:p w:rsidR="007D2DA1" w:rsidRDefault="007D2DA1" w:rsidP="007D2DA1">
      <w:pPr>
        <w:pStyle w:val="Odstavecseseznamem"/>
        <w:jc w:val="both"/>
        <w:rPr>
          <w:rFonts w:ascii="Arial" w:hAnsi="Arial" w:cs="Arial"/>
          <w:b/>
        </w:rPr>
      </w:pPr>
    </w:p>
    <w:p w:rsidR="00284CB3" w:rsidRPr="00655F37" w:rsidRDefault="00284CB3" w:rsidP="00C560D7">
      <w:pPr>
        <w:tabs>
          <w:tab w:val="left" w:pos="-284"/>
          <w:tab w:val="left" w:pos="360"/>
        </w:tabs>
        <w:ind w:left="284" w:hanging="284"/>
        <w:jc w:val="both"/>
        <w:rPr>
          <w:rFonts w:ascii="Arial" w:hAnsi="Arial" w:cs="Arial"/>
          <w:bCs/>
          <w:sz w:val="20"/>
          <w:szCs w:val="20"/>
        </w:rPr>
      </w:pPr>
    </w:p>
    <w:tbl>
      <w:tblPr>
        <w:tblStyle w:val="Mkatabulky"/>
        <w:tblW w:w="0" w:type="auto"/>
        <w:tblInd w:w="-147" w:type="dxa"/>
        <w:tblLook w:val="04A0" w:firstRow="1" w:lastRow="0" w:firstColumn="1" w:lastColumn="0" w:noHBand="0" w:noVBand="1"/>
      </w:tblPr>
      <w:tblGrid>
        <w:gridCol w:w="2603"/>
        <w:gridCol w:w="3450"/>
        <w:gridCol w:w="1728"/>
        <w:gridCol w:w="1712"/>
      </w:tblGrid>
      <w:tr w:rsidR="00FE3AB7" w:rsidRPr="00655F37" w:rsidTr="00BE75AA">
        <w:tc>
          <w:tcPr>
            <w:tcW w:w="9493" w:type="dxa"/>
            <w:gridSpan w:val="4"/>
          </w:tcPr>
          <w:p w:rsidR="00FE3AB7" w:rsidRPr="00655F37" w:rsidRDefault="00FE3AB7" w:rsidP="00284CB3">
            <w:pPr>
              <w:tabs>
                <w:tab w:val="left" w:pos="-284"/>
                <w:tab w:val="left" w:pos="360"/>
              </w:tabs>
              <w:jc w:val="center"/>
              <w:rPr>
                <w:rFonts w:ascii="Arial" w:hAnsi="Arial" w:cs="Arial"/>
                <w:bCs/>
                <w:sz w:val="20"/>
                <w:szCs w:val="20"/>
              </w:rPr>
            </w:pPr>
            <w:r w:rsidRPr="00655F37">
              <w:rPr>
                <w:rFonts w:ascii="Arial" w:hAnsi="Arial" w:cs="Arial"/>
                <w:bCs/>
                <w:sz w:val="20"/>
                <w:szCs w:val="20"/>
              </w:rPr>
              <w:t>P o d p i s</w:t>
            </w:r>
            <w:r w:rsidR="001557E3" w:rsidRPr="00655F37">
              <w:rPr>
                <w:rFonts w:ascii="Arial" w:hAnsi="Arial" w:cs="Arial"/>
                <w:bCs/>
                <w:sz w:val="20"/>
                <w:szCs w:val="20"/>
              </w:rPr>
              <w:t> </w:t>
            </w:r>
            <w:r w:rsidRPr="00655F37">
              <w:rPr>
                <w:rFonts w:ascii="Arial" w:hAnsi="Arial" w:cs="Arial"/>
                <w:bCs/>
                <w:sz w:val="20"/>
                <w:szCs w:val="20"/>
              </w:rPr>
              <w:t>y</w:t>
            </w:r>
          </w:p>
        </w:tc>
      </w:tr>
      <w:tr w:rsidR="00284CB3" w:rsidRPr="00655F37" w:rsidTr="00A609DC">
        <w:tc>
          <w:tcPr>
            <w:tcW w:w="2603" w:type="dxa"/>
          </w:tcPr>
          <w:p w:rsidR="00284CB3" w:rsidRPr="00655F37" w:rsidRDefault="00284CB3" w:rsidP="0063406E">
            <w:pPr>
              <w:tabs>
                <w:tab w:val="left" w:pos="-284"/>
                <w:tab w:val="left" w:pos="360"/>
              </w:tabs>
              <w:rPr>
                <w:rFonts w:ascii="Arial" w:hAnsi="Arial" w:cs="Arial"/>
                <w:bCs/>
                <w:sz w:val="20"/>
                <w:szCs w:val="20"/>
              </w:rPr>
            </w:pPr>
          </w:p>
          <w:p w:rsidR="00284CB3" w:rsidRPr="00655F37" w:rsidRDefault="00284CB3" w:rsidP="0063406E">
            <w:pPr>
              <w:tabs>
                <w:tab w:val="left" w:pos="-284"/>
                <w:tab w:val="left" w:pos="360"/>
              </w:tabs>
              <w:rPr>
                <w:rFonts w:ascii="Arial" w:hAnsi="Arial" w:cs="Arial"/>
                <w:bCs/>
                <w:sz w:val="20"/>
                <w:szCs w:val="20"/>
              </w:rPr>
            </w:pPr>
            <w:r w:rsidRPr="00655F37">
              <w:rPr>
                <w:rFonts w:ascii="Arial" w:hAnsi="Arial" w:cs="Arial"/>
                <w:bCs/>
                <w:sz w:val="20"/>
                <w:szCs w:val="20"/>
              </w:rPr>
              <w:t>Předkladatel</w:t>
            </w:r>
          </w:p>
        </w:tc>
        <w:tc>
          <w:tcPr>
            <w:tcW w:w="3450" w:type="dxa"/>
          </w:tcPr>
          <w:p w:rsidR="00284CB3" w:rsidRPr="00655F37" w:rsidRDefault="00284CB3" w:rsidP="0063406E">
            <w:pPr>
              <w:tabs>
                <w:tab w:val="left" w:pos="-284"/>
                <w:tab w:val="left" w:pos="360"/>
              </w:tabs>
              <w:rPr>
                <w:rFonts w:ascii="Arial" w:hAnsi="Arial" w:cs="Arial"/>
                <w:bCs/>
                <w:i/>
                <w:sz w:val="20"/>
                <w:szCs w:val="20"/>
              </w:rPr>
            </w:pPr>
          </w:p>
          <w:p w:rsidR="00284CB3" w:rsidRDefault="00F86296" w:rsidP="00F86296">
            <w:pPr>
              <w:tabs>
                <w:tab w:val="left" w:pos="-284"/>
                <w:tab w:val="left" w:pos="360"/>
              </w:tabs>
              <w:rPr>
                <w:rFonts w:ascii="Arial" w:hAnsi="Arial" w:cs="Arial"/>
                <w:bCs/>
                <w:i/>
                <w:sz w:val="20"/>
                <w:szCs w:val="20"/>
              </w:rPr>
            </w:pPr>
            <w:r w:rsidRPr="00655F37">
              <w:rPr>
                <w:rFonts w:ascii="Arial" w:hAnsi="Arial" w:cs="Arial"/>
                <w:bCs/>
                <w:i/>
                <w:sz w:val="20"/>
                <w:szCs w:val="20"/>
              </w:rPr>
              <w:t>Mgr. František Jura,</w:t>
            </w:r>
            <w:r w:rsidR="007964E2" w:rsidRPr="00655F37">
              <w:rPr>
                <w:rFonts w:ascii="Arial" w:hAnsi="Arial" w:cs="Arial"/>
                <w:bCs/>
                <w:i/>
                <w:sz w:val="20"/>
                <w:szCs w:val="20"/>
              </w:rPr>
              <w:t xml:space="preserve"> primátor</w:t>
            </w:r>
          </w:p>
          <w:p w:rsidR="00A80C61" w:rsidRPr="00655F37" w:rsidRDefault="00A80C61" w:rsidP="00F86296">
            <w:pPr>
              <w:tabs>
                <w:tab w:val="left" w:pos="-284"/>
                <w:tab w:val="left" w:pos="360"/>
              </w:tabs>
              <w:rPr>
                <w:rFonts w:ascii="Arial" w:hAnsi="Arial" w:cs="Arial"/>
                <w:bCs/>
                <w:i/>
                <w:sz w:val="20"/>
                <w:szCs w:val="20"/>
              </w:rPr>
            </w:pPr>
          </w:p>
        </w:tc>
        <w:tc>
          <w:tcPr>
            <w:tcW w:w="1728" w:type="dxa"/>
            <w:vAlign w:val="center"/>
          </w:tcPr>
          <w:p w:rsidR="00284CB3" w:rsidRPr="00655F37" w:rsidRDefault="007D2DA1" w:rsidP="00286F5D">
            <w:pPr>
              <w:tabs>
                <w:tab w:val="left" w:pos="-284"/>
                <w:tab w:val="left" w:pos="360"/>
              </w:tabs>
              <w:jc w:val="center"/>
              <w:rPr>
                <w:rFonts w:ascii="Arial" w:hAnsi="Arial" w:cs="Arial"/>
                <w:bCs/>
                <w:i/>
                <w:sz w:val="20"/>
                <w:szCs w:val="20"/>
              </w:rPr>
            </w:pPr>
            <w:proofErr w:type="gramStart"/>
            <w:r>
              <w:rPr>
                <w:rFonts w:ascii="Arial" w:hAnsi="Arial" w:cs="Arial"/>
                <w:bCs/>
                <w:i/>
                <w:sz w:val="20"/>
                <w:szCs w:val="20"/>
              </w:rPr>
              <w:t>30.8.2021</w:t>
            </w:r>
            <w:proofErr w:type="gramEnd"/>
          </w:p>
        </w:tc>
        <w:tc>
          <w:tcPr>
            <w:tcW w:w="1712" w:type="dxa"/>
            <w:vAlign w:val="bottom"/>
          </w:tcPr>
          <w:p w:rsidR="00284CB3" w:rsidRPr="00655F37" w:rsidRDefault="00284CB3" w:rsidP="00FE3AB7">
            <w:pPr>
              <w:tabs>
                <w:tab w:val="left" w:pos="-284"/>
                <w:tab w:val="left" w:pos="360"/>
              </w:tabs>
              <w:jc w:val="center"/>
              <w:rPr>
                <w:rFonts w:ascii="Arial" w:hAnsi="Arial" w:cs="Arial"/>
                <w:bCs/>
                <w:i/>
                <w:sz w:val="20"/>
                <w:szCs w:val="20"/>
              </w:rPr>
            </w:pPr>
          </w:p>
        </w:tc>
      </w:tr>
      <w:tr w:rsidR="00284CB3" w:rsidRPr="00655F37" w:rsidTr="00A609DC">
        <w:tc>
          <w:tcPr>
            <w:tcW w:w="2603" w:type="dxa"/>
          </w:tcPr>
          <w:p w:rsidR="00284CB3" w:rsidRPr="00655F37" w:rsidRDefault="00284CB3" w:rsidP="0063406E">
            <w:pPr>
              <w:tabs>
                <w:tab w:val="left" w:pos="-284"/>
                <w:tab w:val="left" w:pos="360"/>
              </w:tabs>
              <w:rPr>
                <w:rFonts w:ascii="Arial" w:hAnsi="Arial" w:cs="Arial"/>
                <w:bCs/>
                <w:sz w:val="20"/>
                <w:szCs w:val="20"/>
              </w:rPr>
            </w:pPr>
          </w:p>
          <w:p w:rsidR="00284CB3" w:rsidRPr="00655F37" w:rsidRDefault="00284CB3" w:rsidP="0063406E">
            <w:pPr>
              <w:tabs>
                <w:tab w:val="left" w:pos="-284"/>
                <w:tab w:val="left" w:pos="360"/>
              </w:tabs>
              <w:rPr>
                <w:rFonts w:ascii="Arial" w:hAnsi="Arial" w:cs="Arial"/>
                <w:bCs/>
                <w:sz w:val="20"/>
                <w:szCs w:val="20"/>
              </w:rPr>
            </w:pPr>
            <w:r w:rsidRPr="00655F37">
              <w:rPr>
                <w:rFonts w:ascii="Arial" w:hAnsi="Arial" w:cs="Arial"/>
                <w:bCs/>
                <w:sz w:val="20"/>
                <w:szCs w:val="20"/>
              </w:rPr>
              <w:t>Za správnost</w:t>
            </w:r>
          </w:p>
        </w:tc>
        <w:tc>
          <w:tcPr>
            <w:tcW w:w="3450" w:type="dxa"/>
          </w:tcPr>
          <w:p w:rsidR="00284CB3" w:rsidRPr="00655F37" w:rsidRDefault="00284CB3" w:rsidP="0063406E">
            <w:pPr>
              <w:tabs>
                <w:tab w:val="left" w:pos="-284"/>
                <w:tab w:val="left" w:pos="360"/>
              </w:tabs>
              <w:rPr>
                <w:rFonts w:ascii="Arial" w:hAnsi="Arial" w:cs="Arial"/>
                <w:bCs/>
                <w:i/>
                <w:sz w:val="20"/>
                <w:szCs w:val="20"/>
              </w:rPr>
            </w:pPr>
          </w:p>
          <w:p w:rsidR="00BE75AA" w:rsidRDefault="001B2BDB" w:rsidP="00BE75AA">
            <w:pPr>
              <w:tabs>
                <w:tab w:val="left" w:pos="-284"/>
                <w:tab w:val="left" w:pos="360"/>
              </w:tabs>
              <w:rPr>
                <w:rFonts w:ascii="Arial" w:hAnsi="Arial" w:cs="Arial"/>
                <w:bCs/>
                <w:i/>
                <w:sz w:val="20"/>
                <w:szCs w:val="20"/>
              </w:rPr>
            </w:pPr>
            <w:r w:rsidRPr="00655F37">
              <w:rPr>
                <w:rFonts w:ascii="Arial" w:hAnsi="Arial" w:cs="Arial"/>
                <w:bCs/>
                <w:i/>
                <w:sz w:val="20"/>
                <w:szCs w:val="20"/>
              </w:rPr>
              <w:t>Ing. Petra Mejzlíková</w:t>
            </w:r>
            <w:r w:rsidR="00F17385" w:rsidRPr="00655F37">
              <w:rPr>
                <w:rFonts w:ascii="Arial" w:hAnsi="Arial" w:cs="Arial"/>
                <w:bCs/>
                <w:i/>
                <w:sz w:val="20"/>
                <w:szCs w:val="20"/>
              </w:rPr>
              <w:t>,</w:t>
            </w:r>
          </w:p>
          <w:p w:rsidR="00284CB3" w:rsidRPr="00655F37" w:rsidRDefault="00F17385" w:rsidP="007D2DA1">
            <w:pPr>
              <w:tabs>
                <w:tab w:val="left" w:pos="-284"/>
                <w:tab w:val="left" w:pos="360"/>
              </w:tabs>
              <w:rPr>
                <w:rFonts w:ascii="Arial" w:hAnsi="Arial" w:cs="Arial"/>
                <w:bCs/>
                <w:i/>
                <w:sz w:val="20"/>
                <w:szCs w:val="20"/>
              </w:rPr>
            </w:pPr>
            <w:r w:rsidRPr="00655F37">
              <w:rPr>
                <w:rFonts w:ascii="Arial" w:hAnsi="Arial" w:cs="Arial"/>
                <w:bCs/>
                <w:i/>
                <w:sz w:val="20"/>
                <w:szCs w:val="20"/>
              </w:rPr>
              <w:t>vedoucí</w:t>
            </w:r>
            <w:r w:rsidR="007964E2" w:rsidRPr="00655F37">
              <w:rPr>
                <w:rFonts w:ascii="Arial" w:hAnsi="Arial" w:cs="Arial"/>
                <w:bCs/>
                <w:i/>
                <w:sz w:val="20"/>
                <w:szCs w:val="20"/>
              </w:rPr>
              <w:t xml:space="preserve"> OKP</w:t>
            </w:r>
            <w:r w:rsidR="00A609DC">
              <w:rPr>
                <w:rFonts w:ascii="Arial" w:hAnsi="Arial" w:cs="Arial"/>
                <w:bCs/>
                <w:i/>
                <w:sz w:val="20"/>
                <w:szCs w:val="20"/>
              </w:rPr>
              <w:t xml:space="preserve"> </w:t>
            </w:r>
          </w:p>
        </w:tc>
        <w:tc>
          <w:tcPr>
            <w:tcW w:w="1728" w:type="dxa"/>
            <w:vAlign w:val="center"/>
          </w:tcPr>
          <w:p w:rsidR="00284CB3" w:rsidRPr="00655F37" w:rsidRDefault="007D2DA1" w:rsidP="00286F5D">
            <w:pPr>
              <w:tabs>
                <w:tab w:val="left" w:pos="-284"/>
                <w:tab w:val="left" w:pos="360"/>
              </w:tabs>
              <w:jc w:val="center"/>
              <w:rPr>
                <w:rFonts w:ascii="Arial" w:hAnsi="Arial" w:cs="Arial"/>
                <w:bCs/>
                <w:i/>
                <w:sz w:val="20"/>
                <w:szCs w:val="20"/>
              </w:rPr>
            </w:pPr>
            <w:proofErr w:type="gramStart"/>
            <w:r>
              <w:rPr>
                <w:rFonts w:ascii="Arial" w:hAnsi="Arial" w:cs="Arial"/>
                <w:bCs/>
                <w:i/>
                <w:sz w:val="20"/>
                <w:szCs w:val="20"/>
              </w:rPr>
              <w:t>30.8.2021</w:t>
            </w:r>
            <w:proofErr w:type="gramEnd"/>
          </w:p>
        </w:tc>
        <w:tc>
          <w:tcPr>
            <w:tcW w:w="1712" w:type="dxa"/>
            <w:vAlign w:val="bottom"/>
          </w:tcPr>
          <w:p w:rsidR="00284CB3" w:rsidRPr="00655F37" w:rsidRDefault="00284CB3" w:rsidP="00FE3AB7">
            <w:pPr>
              <w:tabs>
                <w:tab w:val="left" w:pos="-284"/>
                <w:tab w:val="left" w:pos="360"/>
              </w:tabs>
              <w:jc w:val="center"/>
              <w:rPr>
                <w:rFonts w:ascii="Arial" w:hAnsi="Arial" w:cs="Arial"/>
                <w:bCs/>
                <w:i/>
                <w:sz w:val="20"/>
                <w:szCs w:val="20"/>
              </w:rPr>
            </w:pPr>
          </w:p>
        </w:tc>
      </w:tr>
      <w:tr w:rsidR="00284CB3" w:rsidRPr="00655F37" w:rsidTr="00A609DC">
        <w:tc>
          <w:tcPr>
            <w:tcW w:w="2603" w:type="dxa"/>
          </w:tcPr>
          <w:p w:rsidR="00284CB3" w:rsidRPr="00655F37" w:rsidRDefault="00284CB3" w:rsidP="0063406E">
            <w:pPr>
              <w:tabs>
                <w:tab w:val="left" w:pos="-284"/>
                <w:tab w:val="left" w:pos="360"/>
              </w:tabs>
              <w:rPr>
                <w:rFonts w:ascii="Arial" w:hAnsi="Arial" w:cs="Arial"/>
                <w:bCs/>
                <w:sz w:val="20"/>
                <w:szCs w:val="20"/>
              </w:rPr>
            </w:pPr>
          </w:p>
          <w:p w:rsidR="00284CB3" w:rsidRPr="00655F37" w:rsidRDefault="00286F5D" w:rsidP="0063406E">
            <w:pPr>
              <w:tabs>
                <w:tab w:val="left" w:pos="-284"/>
                <w:tab w:val="left" w:pos="360"/>
              </w:tabs>
              <w:rPr>
                <w:rFonts w:ascii="Arial" w:hAnsi="Arial" w:cs="Arial"/>
                <w:bCs/>
                <w:sz w:val="20"/>
                <w:szCs w:val="20"/>
              </w:rPr>
            </w:pPr>
            <w:proofErr w:type="gramStart"/>
            <w:r w:rsidRPr="00655F37">
              <w:rPr>
                <w:rFonts w:ascii="Arial" w:hAnsi="Arial" w:cs="Arial"/>
                <w:bCs/>
                <w:sz w:val="20"/>
                <w:szCs w:val="20"/>
              </w:rPr>
              <w:t>Zpracovatel</w:t>
            </w:r>
            <w:r w:rsidR="00284CB3" w:rsidRPr="00655F37">
              <w:rPr>
                <w:rFonts w:ascii="Arial" w:hAnsi="Arial" w:cs="Arial"/>
                <w:bCs/>
                <w:sz w:val="20"/>
                <w:szCs w:val="20"/>
              </w:rPr>
              <w:t>(é)</w:t>
            </w:r>
            <w:proofErr w:type="gramEnd"/>
          </w:p>
        </w:tc>
        <w:tc>
          <w:tcPr>
            <w:tcW w:w="3450" w:type="dxa"/>
          </w:tcPr>
          <w:p w:rsidR="00284CB3" w:rsidRPr="00655F37" w:rsidRDefault="00284CB3" w:rsidP="0063406E">
            <w:pPr>
              <w:tabs>
                <w:tab w:val="left" w:pos="-284"/>
                <w:tab w:val="left" w:pos="360"/>
              </w:tabs>
              <w:rPr>
                <w:rFonts w:ascii="Arial" w:hAnsi="Arial" w:cs="Arial"/>
                <w:bCs/>
                <w:i/>
                <w:sz w:val="20"/>
                <w:szCs w:val="20"/>
              </w:rPr>
            </w:pPr>
          </w:p>
          <w:p w:rsidR="00BE75AA" w:rsidRPr="00BE75AA" w:rsidRDefault="00BE75AA" w:rsidP="00BE75AA">
            <w:pPr>
              <w:tabs>
                <w:tab w:val="left" w:pos="-284"/>
                <w:tab w:val="left" w:pos="360"/>
              </w:tabs>
              <w:rPr>
                <w:rFonts w:ascii="Arial" w:hAnsi="Arial" w:cs="Arial"/>
                <w:bCs/>
                <w:i/>
                <w:sz w:val="20"/>
                <w:szCs w:val="20"/>
              </w:rPr>
            </w:pPr>
            <w:r w:rsidRPr="00BE75AA">
              <w:rPr>
                <w:rFonts w:ascii="Arial" w:hAnsi="Arial" w:cs="Arial"/>
                <w:bCs/>
                <w:i/>
                <w:sz w:val="20"/>
                <w:szCs w:val="20"/>
              </w:rPr>
              <w:t xml:space="preserve">JUDr. Lenka Antoníčková, </w:t>
            </w:r>
          </w:p>
          <w:p w:rsidR="00284CB3" w:rsidRPr="00655F37" w:rsidRDefault="00BE75AA" w:rsidP="00BE75AA">
            <w:pPr>
              <w:tabs>
                <w:tab w:val="left" w:pos="-284"/>
                <w:tab w:val="left" w:pos="360"/>
              </w:tabs>
              <w:rPr>
                <w:rFonts w:ascii="Arial" w:hAnsi="Arial" w:cs="Arial"/>
                <w:bCs/>
                <w:i/>
                <w:sz w:val="20"/>
                <w:szCs w:val="20"/>
              </w:rPr>
            </w:pPr>
            <w:r>
              <w:rPr>
                <w:rFonts w:ascii="Arial" w:hAnsi="Arial" w:cs="Arial"/>
                <w:bCs/>
                <w:i/>
                <w:sz w:val="20"/>
                <w:szCs w:val="20"/>
              </w:rPr>
              <w:t>p</w:t>
            </w:r>
            <w:r w:rsidRPr="00BE75AA">
              <w:rPr>
                <w:rFonts w:ascii="Arial" w:hAnsi="Arial" w:cs="Arial"/>
                <w:bCs/>
                <w:i/>
                <w:sz w:val="20"/>
                <w:szCs w:val="20"/>
              </w:rPr>
              <w:t xml:space="preserve">rávník </w:t>
            </w:r>
            <w:r>
              <w:rPr>
                <w:rFonts w:ascii="Arial" w:hAnsi="Arial" w:cs="Arial"/>
                <w:bCs/>
                <w:i/>
                <w:sz w:val="20"/>
                <w:szCs w:val="20"/>
              </w:rPr>
              <w:t>OKP</w:t>
            </w:r>
            <w:r w:rsidRPr="00BE75AA">
              <w:rPr>
                <w:rFonts w:ascii="Arial" w:hAnsi="Arial" w:cs="Arial"/>
                <w:bCs/>
                <w:i/>
                <w:sz w:val="20"/>
                <w:szCs w:val="20"/>
              </w:rPr>
              <w:tab/>
            </w:r>
          </w:p>
        </w:tc>
        <w:tc>
          <w:tcPr>
            <w:tcW w:w="1728" w:type="dxa"/>
            <w:vAlign w:val="center"/>
          </w:tcPr>
          <w:p w:rsidR="00284CB3" w:rsidRPr="00655F37" w:rsidRDefault="007D2DA1" w:rsidP="00286F5D">
            <w:pPr>
              <w:tabs>
                <w:tab w:val="left" w:pos="-284"/>
                <w:tab w:val="left" w:pos="360"/>
              </w:tabs>
              <w:jc w:val="center"/>
              <w:rPr>
                <w:rFonts w:ascii="Arial" w:hAnsi="Arial" w:cs="Arial"/>
                <w:bCs/>
                <w:i/>
                <w:sz w:val="20"/>
                <w:szCs w:val="20"/>
              </w:rPr>
            </w:pPr>
            <w:proofErr w:type="gramStart"/>
            <w:r>
              <w:rPr>
                <w:rFonts w:ascii="Arial" w:hAnsi="Arial" w:cs="Arial"/>
                <w:bCs/>
                <w:i/>
                <w:sz w:val="20"/>
                <w:szCs w:val="20"/>
              </w:rPr>
              <w:t>30.8.2021</w:t>
            </w:r>
            <w:proofErr w:type="gramEnd"/>
          </w:p>
        </w:tc>
        <w:tc>
          <w:tcPr>
            <w:tcW w:w="1712" w:type="dxa"/>
            <w:vAlign w:val="bottom"/>
          </w:tcPr>
          <w:p w:rsidR="00284CB3" w:rsidRPr="00655F37" w:rsidRDefault="00284CB3" w:rsidP="00FE3AB7">
            <w:pPr>
              <w:tabs>
                <w:tab w:val="left" w:pos="-284"/>
                <w:tab w:val="left" w:pos="360"/>
              </w:tabs>
              <w:jc w:val="center"/>
              <w:rPr>
                <w:rFonts w:ascii="Arial" w:hAnsi="Arial" w:cs="Arial"/>
                <w:bCs/>
                <w:i/>
                <w:sz w:val="20"/>
                <w:szCs w:val="20"/>
              </w:rPr>
            </w:pPr>
          </w:p>
        </w:tc>
      </w:tr>
    </w:tbl>
    <w:p w:rsidR="007964E2" w:rsidRPr="00655F37" w:rsidRDefault="007964E2" w:rsidP="00B8533E">
      <w:pPr>
        <w:pStyle w:val="Zkladntext"/>
        <w:tabs>
          <w:tab w:val="clear" w:pos="0"/>
          <w:tab w:val="left" w:pos="-284"/>
        </w:tabs>
        <w:ind w:left="426" w:hanging="426"/>
        <w:rPr>
          <w:rFonts w:ascii="Arial" w:hAnsi="Arial" w:cs="Arial"/>
          <w:b/>
          <w:sz w:val="24"/>
          <w:u w:val="single"/>
        </w:rPr>
      </w:pPr>
    </w:p>
    <w:p w:rsidR="000D157D" w:rsidRDefault="000D157D" w:rsidP="00B8533E">
      <w:pPr>
        <w:pStyle w:val="Zkladntext"/>
        <w:tabs>
          <w:tab w:val="clear" w:pos="0"/>
          <w:tab w:val="left" w:pos="-284"/>
        </w:tabs>
        <w:ind w:left="426" w:hanging="426"/>
        <w:rPr>
          <w:rFonts w:ascii="Arial" w:hAnsi="Arial" w:cs="Arial"/>
          <w:b/>
          <w:sz w:val="24"/>
          <w:u w:val="single"/>
        </w:rPr>
      </w:pPr>
    </w:p>
    <w:p w:rsidR="00236FD4" w:rsidRDefault="00236FD4">
      <w:pPr>
        <w:rPr>
          <w:rFonts w:ascii="Arial" w:hAnsi="Arial" w:cs="Arial"/>
          <w:b/>
          <w:u w:val="single"/>
        </w:rPr>
      </w:pPr>
      <w:r>
        <w:rPr>
          <w:rFonts w:ascii="Arial" w:hAnsi="Arial" w:cs="Arial"/>
          <w:b/>
          <w:u w:val="single"/>
        </w:rPr>
        <w:br w:type="page"/>
      </w:r>
    </w:p>
    <w:p w:rsidR="000D157D" w:rsidRDefault="000D157D" w:rsidP="00B8533E">
      <w:pPr>
        <w:pStyle w:val="Zkladntext"/>
        <w:tabs>
          <w:tab w:val="clear" w:pos="0"/>
          <w:tab w:val="left" w:pos="-284"/>
        </w:tabs>
        <w:ind w:left="426" w:hanging="426"/>
        <w:rPr>
          <w:rFonts w:ascii="Arial" w:hAnsi="Arial" w:cs="Arial"/>
          <w:b/>
          <w:sz w:val="24"/>
          <w:u w:val="single"/>
        </w:rPr>
      </w:pPr>
    </w:p>
    <w:p w:rsidR="00B8533E" w:rsidRPr="00655F37" w:rsidRDefault="00B8533E" w:rsidP="00B8533E">
      <w:pPr>
        <w:pStyle w:val="Zkladntext"/>
        <w:tabs>
          <w:tab w:val="clear" w:pos="0"/>
          <w:tab w:val="left" w:pos="-284"/>
        </w:tabs>
        <w:ind w:left="426" w:hanging="426"/>
        <w:rPr>
          <w:rFonts w:ascii="Arial" w:hAnsi="Arial" w:cs="Arial"/>
          <w:b/>
          <w:sz w:val="24"/>
          <w:u w:val="single"/>
        </w:rPr>
      </w:pPr>
      <w:r w:rsidRPr="00655F37">
        <w:rPr>
          <w:rFonts w:ascii="Arial" w:hAnsi="Arial" w:cs="Arial"/>
          <w:b/>
          <w:sz w:val="24"/>
          <w:u w:val="single"/>
        </w:rPr>
        <w:t>Důvodová zpráva:</w:t>
      </w:r>
    </w:p>
    <w:p w:rsidR="009C4FF2" w:rsidRPr="009C4FF2" w:rsidRDefault="00BE75AA" w:rsidP="00BE75AA">
      <w:pPr>
        <w:jc w:val="both"/>
        <w:rPr>
          <w:rFonts w:ascii="Arial" w:hAnsi="Arial" w:cs="Arial"/>
          <w:bCs/>
        </w:rPr>
      </w:pPr>
      <w:r w:rsidRPr="009C4FF2">
        <w:rPr>
          <w:rFonts w:ascii="Arial" w:hAnsi="Arial" w:cs="Arial"/>
          <w:bCs/>
        </w:rPr>
        <w:t xml:space="preserve">Statutární město Prostějov je </w:t>
      </w:r>
      <w:r w:rsidR="00BF1984" w:rsidRPr="009C4FF2">
        <w:rPr>
          <w:rFonts w:ascii="Arial" w:hAnsi="Arial" w:cs="Arial"/>
          <w:bCs/>
        </w:rPr>
        <w:t xml:space="preserve">vlastníkem kmenových </w:t>
      </w:r>
      <w:r w:rsidR="00DA5716" w:rsidRPr="009C4FF2">
        <w:rPr>
          <w:rFonts w:ascii="Arial" w:hAnsi="Arial" w:cs="Arial"/>
          <w:bCs/>
        </w:rPr>
        <w:t>akcií</w:t>
      </w:r>
      <w:r w:rsidR="00BF1984" w:rsidRPr="009C4FF2">
        <w:rPr>
          <w:rFonts w:ascii="Arial" w:hAnsi="Arial" w:cs="Arial"/>
          <w:bCs/>
        </w:rPr>
        <w:t xml:space="preserve"> na jméno v listinné podobě Servisní společnosti Olomouckého kraje, a.s.</w:t>
      </w:r>
      <w:r w:rsidR="00081F00">
        <w:rPr>
          <w:rFonts w:ascii="Arial" w:hAnsi="Arial" w:cs="Arial"/>
          <w:bCs/>
        </w:rPr>
        <w:t xml:space="preserve"> (dále SSOOK)</w:t>
      </w:r>
      <w:r w:rsidR="00BF1984" w:rsidRPr="009C4FF2">
        <w:rPr>
          <w:rFonts w:ascii="Arial" w:hAnsi="Arial" w:cs="Arial"/>
          <w:bCs/>
        </w:rPr>
        <w:t xml:space="preserve"> č. 098954 – 143163 ve jmenovité hodnotě 15</w:t>
      </w:r>
      <w:r w:rsidR="00866A8B">
        <w:rPr>
          <w:rFonts w:ascii="Arial" w:hAnsi="Arial" w:cs="Arial"/>
          <w:bCs/>
        </w:rPr>
        <w:t xml:space="preserve"> </w:t>
      </w:r>
      <w:r w:rsidR="00BF1984" w:rsidRPr="009C4FF2">
        <w:rPr>
          <w:rFonts w:ascii="Arial" w:hAnsi="Arial" w:cs="Arial"/>
          <w:bCs/>
        </w:rPr>
        <w:t>Kč/kus (nahrazených hromadnou akcií)</w:t>
      </w:r>
      <w:r w:rsidR="009C4FF2" w:rsidRPr="009C4FF2">
        <w:rPr>
          <w:rFonts w:ascii="Arial" w:hAnsi="Arial" w:cs="Arial"/>
          <w:bCs/>
        </w:rPr>
        <w:t xml:space="preserve">. </w:t>
      </w:r>
    </w:p>
    <w:p w:rsidR="00DA5716" w:rsidRPr="009C4FF2" w:rsidRDefault="009C4FF2" w:rsidP="00BE75AA">
      <w:pPr>
        <w:jc w:val="both"/>
        <w:rPr>
          <w:rFonts w:ascii="Arial" w:hAnsi="Arial" w:cs="Arial"/>
          <w:b/>
        </w:rPr>
      </w:pPr>
      <w:r w:rsidRPr="009C4FF2">
        <w:rPr>
          <w:rFonts w:ascii="Arial" w:hAnsi="Arial" w:cs="Arial"/>
          <w:bCs/>
        </w:rPr>
        <w:t>Na zákl</w:t>
      </w:r>
      <w:r>
        <w:rPr>
          <w:rFonts w:ascii="Arial" w:hAnsi="Arial" w:cs="Arial"/>
          <w:bCs/>
        </w:rPr>
        <w:t>a</w:t>
      </w:r>
      <w:r w:rsidRPr="009C4FF2">
        <w:rPr>
          <w:rFonts w:ascii="Arial" w:hAnsi="Arial" w:cs="Arial"/>
          <w:bCs/>
        </w:rPr>
        <w:t xml:space="preserve">dě této smlouvy je statutární město Prostějov </w:t>
      </w:r>
      <w:r w:rsidRPr="009C4FF2">
        <w:rPr>
          <w:rFonts w:ascii="Arial" w:hAnsi="Arial" w:cs="Arial"/>
        </w:rPr>
        <w:t xml:space="preserve">akcionářem </w:t>
      </w:r>
      <w:r w:rsidR="00081F00">
        <w:rPr>
          <w:rFonts w:ascii="Arial" w:hAnsi="Arial" w:cs="Arial"/>
        </w:rPr>
        <w:t xml:space="preserve">SSOOK </w:t>
      </w:r>
      <w:r w:rsidRPr="009C4FF2">
        <w:rPr>
          <w:rFonts w:ascii="Arial" w:hAnsi="Arial" w:cs="Arial"/>
          <w:bCs/>
        </w:rPr>
        <w:t>s tzv. přímým podílem</w:t>
      </w:r>
      <w:r>
        <w:rPr>
          <w:rFonts w:ascii="Arial" w:hAnsi="Arial" w:cs="Arial"/>
          <w:bCs/>
        </w:rPr>
        <w:t>.</w:t>
      </w:r>
    </w:p>
    <w:p w:rsidR="00DA5716" w:rsidRDefault="00DA5716" w:rsidP="00BE75AA">
      <w:pPr>
        <w:jc w:val="both"/>
        <w:rPr>
          <w:rFonts w:ascii="Arial" w:hAnsi="Arial" w:cs="Arial"/>
          <w:b/>
        </w:rPr>
      </w:pPr>
    </w:p>
    <w:p w:rsidR="00AF5232" w:rsidRDefault="0081473D" w:rsidP="00BE75AA">
      <w:pPr>
        <w:jc w:val="both"/>
        <w:rPr>
          <w:rFonts w:ascii="Arial" w:hAnsi="Arial" w:cs="Arial"/>
        </w:rPr>
      </w:pPr>
      <w:r>
        <w:rPr>
          <w:rFonts w:ascii="Arial" w:hAnsi="Arial" w:cs="Arial"/>
        </w:rPr>
        <w:t>Dozorčí radou společnosti byli dne 30. 6. 2021</w:t>
      </w:r>
      <w:r w:rsidR="00AF5232">
        <w:rPr>
          <w:rFonts w:ascii="Arial" w:hAnsi="Arial" w:cs="Arial"/>
        </w:rPr>
        <w:t xml:space="preserve"> </w:t>
      </w:r>
      <w:r>
        <w:rPr>
          <w:rFonts w:ascii="Arial" w:hAnsi="Arial" w:cs="Arial"/>
        </w:rPr>
        <w:t xml:space="preserve">zvoleni noví členové představenstva společnosti. </w:t>
      </w:r>
      <w:r w:rsidR="00AF5232">
        <w:rPr>
          <w:rFonts w:ascii="Arial" w:hAnsi="Arial" w:cs="Arial"/>
        </w:rPr>
        <w:t xml:space="preserve">V současné době představenstvo činí kroky k zahájení </w:t>
      </w:r>
      <w:r w:rsidR="003C61FD">
        <w:rPr>
          <w:rFonts w:ascii="Arial" w:hAnsi="Arial" w:cs="Arial"/>
        </w:rPr>
        <w:t xml:space="preserve">praktické </w:t>
      </w:r>
      <w:r w:rsidR="00AF5232">
        <w:rPr>
          <w:rFonts w:ascii="Arial" w:hAnsi="Arial" w:cs="Arial"/>
        </w:rPr>
        <w:t>činnosti společnosti. Vzhledem k tomu, že činnost společnosti není výdělečná a předst</w:t>
      </w:r>
      <w:r w:rsidR="003C61FD">
        <w:rPr>
          <w:rFonts w:ascii="Arial" w:hAnsi="Arial" w:cs="Arial"/>
        </w:rPr>
        <w:t>a</w:t>
      </w:r>
      <w:r w:rsidR="00AF5232">
        <w:rPr>
          <w:rFonts w:ascii="Arial" w:hAnsi="Arial" w:cs="Arial"/>
        </w:rPr>
        <w:t>ve</w:t>
      </w:r>
      <w:r w:rsidR="003C61FD">
        <w:rPr>
          <w:rFonts w:ascii="Arial" w:hAnsi="Arial" w:cs="Arial"/>
        </w:rPr>
        <w:t>n</w:t>
      </w:r>
      <w:r w:rsidR="00AF5232">
        <w:rPr>
          <w:rFonts w:ascii="Arial" w:hAnsi="Arial" w:cs="Arial"/>
        </w:rPr>
        <w:t>stvo se rozhodlo nespotřebová</w:t>
      </w:r>
      <w:r w:rsidR="003C61FD">
        <w:rPr>
          <w:rFonts w:ascii="Arial" w:hAnsi="Arial" w:cs="Arial"/>
        </w:rPr>
        <w:t>va</w:t>
      </w:r>
      <w:r w:rsidR="00AF5232">
        <w:rPr>
          <w:rFonts w:ascii="Arial" w:hAnsi="Arial" w:cs="Arial"/>
        </w:rPr>
        <w:t xml:space="preserve">t </w:t>
      </w:r>
      <w:r w:rsidR="003C61FD">
        <w:rPr>
          <w:rFonts w:ascii="Arial" w:hAnsi="Arial" w:cs="Arial"/>
        </w:rPr>
        <w:t>n</w:t>
      </w:r>
      <w:r w:rsidR="00AF5232">
        <w:rPr>
          <w:rFonts w:ascii="Arial" w:hAnsi="Arial" w:cs="Arial"/>
        </w:rPr>
        <w:t>a p</w:t>
      </w:r>
      <w:r w:rsidR="00EF5D6F">
        <w:rPr>
          <w:rFonts w:ascii="Arial" w:hAnsi="Arial" w:cs="Arial"/>
        </w:rPr>
        <w:t xml:space="preserve">rovozní výdaje základní kapitál </w:t>
      </w:r>
      <w:r w:rsidR="00AF5232">
        <w:rPr>
          <w:rFonts w:ascii="Arial" w:hAnsi="Arial" w:cs="Arial"/>
        </w:rPr>
        <w:t>sp</w:t>
      </w:r>
      <w:r w:rsidR="003C61FD">
        <w:rPr>
          <w:rFonts w:ascii="Arial" w:hAnsi="Arial" w:cs="Arial"/>
        </w:rPr>
        <w:t>o</w:t>
      </w:r>
      <w:r w:rsidR="00EF5D6F">
        <w:rPr>
          <w:rFonts w:ascii="Arial" w:hAnsi="Arial" w:cs="Arial"/>
        </w:rPr>
        <w:t>l</w:t>
      </w:r>
      <w:r w:rsidR="003C61FD">
        <w:rPr>
          <w:rFonts w:ascii="Arial" w:hAnsi="Arial" w:cs="Arial"/>
        </w:rPr>
        <w:t xml:space="preserve">ečnosti, </w:t>
      </w:r>
      <w:r w:rsidR="00AF5232">
        <w:rPr>
          <w:rFonts w:ascii="Arial" w:hAnsi="Arial" w:cs="Arial"/>
        </w:rPr>
        <w:t>byl</w:t>
      </w:r>
      <w:r w:rsidR="003C61FD">
        <w:rPr>
          <w:rFonts w:ascii="Arial" w:hAnsi="Arial" w:cs="Arial"/>
        </w:rPr>
        <w:t>o</w:t>
      </w:r>
      <w:r w:rsidR="00AF5232">
        <w:rPr>
          <w:rFonts w:ascii="Arial" w:hAnsi="Arial" w:cs="Arial"/>
        </w:rPr>
        <w:t xml:space="preserve"> usnesením představen</w:t>
      </w:r>
      <w:r w:rsidR="003C61FD">
        <w:rPr>
          <w:rFonts w:ascii="Arial" w:hAnsi="Arial" w:cs="Arial"/>
        </w:rPr>
        <w:t xml:space="preserve">stva ze dne 23. 7. 2021 </w:t>
      </w:r>
      <w:r w:rsidR="00AF5232">
        <w:rPr>
          <w:rFonts w:ascii="Arial" w:hAnsi="Arial" w:cs="Arial"/>
        </w:rPr>
        <w:t>rozhodnuto požádat jedno</w:t>
      </w:r>
      <w:r w:rsidR="003C61FD">
        <w:rPr>
          <w:rFonts w:ascii="Arial" w:hAnsi="Arial" w:cs="Arial"/>
        </w:rPr>
        <w:t xml:space="preserve">tlivé </w:t>
      </w:r>
      <w:r w:rsidR="00AF5232">
        <w:rPr>
          <w:rFonts w:ascii="Arial" w:hAnsi="Arial" w:cs="Arial"/>
        </w:rPr>
        <w:t>akcionáře o poskytnutí indivi</w:t>
      </w:r>
      <w:r w:rsidR="003C61FD">
        <w:rPr>
          <w:rFonts w:ascii="Arial" w:hAnsi="Arial" w:cs="Arial"/>
        </w:rPr>
        <w:t>d</w:t>
      </w:r>
      <w:r w:rsidR="00AF5232">
        <w:rPr>
          <w:rFonts w:ascii="Arial" w:hAnsi="Arial" w:cs="Arial"/>
        </w:rPr>
        <w:t>uálních dotací z jejich rozpoč</w:t>
      </w:r>
      <w:r w:rsidR="003C61FD">
        <w:rPr>
          <w:rFonts w:ascii="Arial" w:hAnsi="Arial" w:cs="Arial"/>
        </w:rPr>
        <w:t xml:space="preserve">tů účelově určených takto: </w:t>
      </w:r>
    </w:p>
    <w:p w:rsidR="00AF5232" w:rsidRPr="003C61FD" w:rsidRDefault="00AF5232" w:rsidP="00E26E18">
      <w:pPr>
        <w:pStyle w:val="Odstavecseseznamem"/>
        <w:numPr>
          <w:ilvl w:val="0"/>
          <w:numId w:val="32"/>
        </w:numPr>
        <w:jc w:val="both"/>
        <w:rPr>
          <w:rFonts w:ascii="Arial" w:hAnsi="Arial" w:cs="Arial"/>
        </w:rPr>
      </w:pPr>
      <w:r w:rsidRPr="003C61FD">
        <w:rPr>
          <w:rFonts w:ascii="Arial" w:hAnsi="Arial" w:cs="Arial"/>
        </w:rPr>
        <w:t>zpracování nezbytných interních předpisů</w:t>
      </w:r>
    </w:p>
    <w:p w:rsidR="00AF5232" w:rsidRDefault="00AF5232" w:rsidP="00E26E18">
      <w:pPr>
        <w:pStyle w:val="Odstavecseseznamem"/>
        <w:numPr>
          <w:ilvl w:val="0"/>
          <w:numId w:val="32"/>
        </w:numPr>
        <w:jc w:val="both"/>
        <w:rPr>
          <w:rFonts w:ascii="Arial" w:hAnsi="Arial" w:cs="Arial"/>
        </w:rPr>
      </w:pPr>
      <w:r>
        <w:rPr>
          <w:rFonts w:ascii="Arial" w:hAnsi="Arial" w:cs="Arial"/>
        </w:rPr>
        <w:t>vytvoření informační internetové stránky společnosti, která bude zpracovávat informace a novinky z oblasti odpadového hospodářství se zaměřením na potřeby města a obcí Olomouckého kraje</w:t>
      </w:r>
    </w:p>
    <w:p w:rsidR="00AF5232" w:rsidRDefault="003C61FD" w:rsidP="00E26E18">
      <w:pPr>
        <w:pStyle w:val="Odstavecseseznamem"/>
        <w:numPr>
          <w:ilvl w:val="0"/>
          <w:numId w:val="32"/>
        </w:numPr>
        <w:jc w:val="both"/>
        <w:rPr>
          <w:rFonts w:ascii="Arial" w:hAnsi="Arial" w:cs="Arial"/>
        </w:rPr>
      </w:pPr>
      <w:r>
        <w:rPr>
          <w:rFonts w:ascii="Arial" w:hAnsi="Arial" w:cs="Arial"/>
        </w:rPr>
        <w:t xml:space="preserve">příprava </w:t>
      </w:r>
      <w:r w:rsidR="0024574C">
        <w:rPr>
          <w:rFonts w:ascii="Arial" w:hAnsi="Arial" w:cs="Arial"/>
        </w:rPr>
        <w:t>workshop</w:t>
      </w:r>
      <w:r>
        <w:rPr>
          <w:rFonts w:ascii="Arial" w:hAnsi="Arial" w:cs="Arial"/>
        </w:rPr>
        <w:t>u</w:t>
      </w:r>
      <w:r w:rsidR="0024574C">
        <w:rPr>
          <w:rFonts w:ascii="Arial" w:hAnsi="Arial" w:cs="Arial"/>
        </w:rPr>
        <w:t xml:space="preserve"> na téma budoucnosti odpadového hospodářství</w:t>
      </w:r>
    </w:p>
    <w:p w:rsidR="009C4FF2" w:rsidRDefault="009C4FF2" w:rsidP="00DA5716">
      <w:pPr>
        <w:jc w:val="both"/>
      </w:pPr>
    </w:p>
    <w:p w:rsidR="00EF5D6F" w:rsidRDefault="003C61FD" w:rsidP="00081F00">
      <w:pPr>
        <w:jc w:val="both"/>
        <w:rPr>
          <w:rFonts w:ascii="Arial" w:hAnsi="Arial" w:cs="Arial"/>
        </w:rPr>
      </w:pPr>
      <w:r>
        <w:rPr>
          <w:rFonts w:ascii="Arial" w:hAnsi="Arial" w:cs="Arial"/>
        </w:rPr>
        <w:t xml:space="preserve">Poskytování dotací z rozpočtu statutárního města Prostějov je upraveno vnitřním řídícím předpisem - </w:t>
      </w:r>
      <w:r w:rsidRPr="003C61FD">
        <w:rPr>
          <w:rFonts w:ascii="Arial" w:hAnsi="Arial" w:cs="Arial"/>
        </w:rPr>
        <w:t>Zásady poskytování dotace a návratné finanční výpomoci</w:t>
      </w:r>
      <w:r>
        <w:rPr>
          <w:rFonts w:ascii="Arial" w:hAnsi="Arial" w:cs="Arial"/>
        </w:rPr>
        <w:t xml:space="preserve"> ve znění účinném od 19.</w:t>
      </w:r>
      <w:r w:rsidR="00EF5D6F">
        <w:rPr>
          <w:rFonts w:ascii="Arial" w:hAnsi="Arial" w:cs="Arial"/>
        </w:rPr>
        <w:t xml:space="preserve"> </w:t>
      </w:r>
      <w:r>
        <w:rPr>
          <w:rFonts w:ascii="Arial" w:hAnsi="Arial" w:cs="Arial"/>
        </w:rPr>
        <w:t>6.</w:t>
      </w:r>
      <w:r w:rsidR="00EF5D6F">
        <w:rPr>
          <w:rFonts w:ascii="Arial" w:hAnsi="Arial" w:cs="Arial"/>
        </w:rPr>
        <w:t xml:space="preserve"> </w:t>
      </w:r>
      <w:r>
        <w:rPr>
          <w:rFonts w:ascii="Arial" w:hAnsi="Arial" w:cs="Arial"/>
        </w:rPr>
        <w:t>2020</w:t>
      </w:r>
      <w:r w:rsidR="00EF5D6F">
        <w:rPr>
          <w:rFonts w:ascii="Arial" w:hAnsi="Arial" w:cs="Arial"/>
        </w:rPr>
        <w:t xml:space="preserve">. </w:t>
      </w:r>
    </w:p>
    <w:p w:rsidR="00E26E18" w:rsidRDefault="00E26E18" w:rsidP="00081F00">
      <w:pPr>
        <w:jc w:val="both"/>
        <w:rPr>
          <w:rFonts w:ascii="Arial" w:hAnsi="Arial" w:cs="Arial"/>
        </w:rPr>
      </w:pPr>
    </w:p>
    <w:p w:rsidR="00E26E18" w:rsidRDefault="00E26E18" w:rsidP="00E26E18">
      <w:pPr>
        <w:jc w:val="both"/>
        <w:rPr>
          <w:rFonts w:ascii="Arial" w:hAnsi="Arial" w:cs="Arial"/>
        </w:rPr>
      </w:pPr>
      <w:r>
        <w:rPr>
          <w:rFonts w:ascii="Arial" w:hAnsi="Arial" w:cs="Arial"/>
        </w:rPr>
        <w:t>SSOOK požádala v souladu se Zásadami o poskytnutí individuální dotace prostřednictvím webové aplikace (příloha č. 2).</w:t>
      </w:r>
    </w:p>
    <w:p w:rsidR="00584F91" w:rsidRDefault="00584F91" w:rsidP="00081F00">
      <w:pPr>
        <w:jc w:val="both"/>
        <w:rPr>
          <w:rFonts w:ascii="Arial" w:hAnsi="Arial" w:cs="Arial"/>
        </w:rPr>
      </w:pPr>
    </w:p>
    <w:p w:rsidR="00EF5D6F" w:rsidRDefault="00EF5D6F" w:rsidP="00081F00">
      <w:pPr>
        <w:jc w:val="both"/>
        <w:rPr>
          <w:rFonts w:ascii="Arial" w:hAnsi="Arial" w:cs="Arial"/>
        </w:rPr>
      </w:pPr>
      <w:r>
        <w:rPr>
          <w:rFonts w:ascii="Arial" w:hAnsi="Arial" w:cs="Arial"/>
        </w:rPr>
        <w:t>I</w:t>
      </w:r>
      <w:r w:rsidR="005B4BB4">
        <w:rPr>
          <w:rFonts w:ascii="Arial" w:hAnsi="Arial" w:cs="Arial"/>
        </w:rPr>
        <w:t xml:space="preserve">ndividuální dotace je </w:t>
      </w:r>
      <w:r>
        <w:rPr>
          <w:rFonts w:ascii="Arial" w:hAnsi="Arial" w:cs="Arial"/>
        </w:rPr>
        <w:t>požadována ve výše 88</w:t>
      </w:r>
      <w:r w:rsidR="005B4BB4">
        <w:rPr>
          <w:rFonts w:ascii="Arial" w:hAnsi="Arial" w:cs="Arial"/>
        </w:rPr>
        <w:t xml:space="preserve"> 420,- Kč, </w:t>
      </w:r>
      <w:r>
        <w:rPr>
          <w:rFonts w:ascii="Arial" w:hAnsi="Arial" w:cs="Arial"/>
        </w:rPr>
        <w:t>což představuje 2</w:t>
      </w:r>
      <w:r w:rsidR="005B4BB4">
        <w:rPr>
          <w:rFonts w:ascii="Arial" w:hAnsi="Arial" w:cs="Arial"/>
        </w:rPr>
        <w:t>,-</w:t>
      </w:r>
      <w:r>
        <w:rPr>
          <w:rFonts w:ascii="Arial" w:hAnsi="Arial" w:cs="Arial"/>
        </w:rPr>
        <w:t xml:space="preserve"> Kč na 1 a</w:t>
      </w:r>
      <w:r w:rsidR="005B4BB4">
        <w:rPr>
          <w:rFonts w:ascii="Arial" w:hAnsi="Arial" w:cs="Arial"/>
        </w:rPr>
        <w:t>k</w:t>
      </w:r>
      <w:r>
        <w:rPr>
          <w:rFonts w:ascii="Arial" w:hAnsi="Arial" w:cs="Arial"/>
        </w:rPr>
        <w:t>cii</w:t>
      </w:r>
      <w:r w:rsidR="005B4BB4">
        <w:rPr>
          <w:rFonts w:ascii="Arial" w:hAnsi="Arial" w:cs="Arial"/>
        </w:rPr>
        <w:t>.</w:t>
      </w:r>
    </w:p>
    <w:p w:rsidR="005B4BB4" w:rsidRDefault="005B4BB4" w:rsidP="00081F00">
      <w:pPr>
        <w:jc w:val="both"/>
        <w:rPr>
          <w:rFonts w:ascii="Arial" w:hAnsi="Arial" w:cs="Arial"/>
        </w:rPr>
      </w:pPr>
    </w:p>
    <w:p w:rsidR="00081F00" w:rsidRDefault="00081F00" w:rsidP="00081F00">
      <w:pPr>
        <w:jc w:val="both"/>
        <w:rPr>
          <w:rFonts w:ascii="Arial" w:hAnsi="Arial" w:cs="Arial"/>
        </w:rPr>
      </w:pPr>
      <w:r>
        <w:rPr>
          <w:rFonts w:ascii="Arial" w:hAnsi="Arial" w:cs="Arial"/>
        </w:rPr>
        <w:t>Dle § 8</w:t>
      </w:r>
      <w:r w:rsidR="003C61FD">
        <w:rPr>
          <w:rFonts w:ascii="Arial" w:hAnsi="Arial" w:cs="Arial"/>
        </w:rPr>
        <w:t>5</w:t>
      </w:r>
      <w:r w:rsidR="008125CF">
        <w:rPr>
          <w:rFonts w:ascii="Arial" w:hAnsi="Arial" w:cs="Arial"/>
        </w:rPr>
        <w:t xml:space="preserve"> </w:t>
      </w:r>
      <w:r>
        <w:rPr>
          <w:rFonts w:ascii="Arial" w:hAnsi="Arial" w:cs="Arial"/>
        </w:rPr>
        <w:t xml:space="preserve">písm. </w:t>
      </w:r>
      <w:r w:rsidR="003C61FD">
        <w:rPr>
          <w:rFonts w:ascii="Arial" w:hAnsi="Arial" w:cs="Arial"/>
        </w:rPr>
        <w:t>c</w:t>
      </w:r>
      <w:r>
        <w:rPr>
          <w:rFonts w:ascii="Arial" w:hAnsi="Arial" w:cs="Arial"/>
        </w:rPr>
        <w:t xml:space="preserve">) z. </w:t>
      </w:r>
      <w:proofErr w:type="gramStart"/>
      <w:r>
        <w:rPr>
          <w:rFonts w:ascii="Arial" w:hAnsi="Arial" w:cs="Arial"/>
        </w:rPr>
        <w:t>č.</w:t>
      </w:r>
      <w:proofErr w:type="gramEnd"/>
      <w:r>
        <w:rPr>
          <w:rFonts w:ascii="Arial" w:hAnsi="Arial" w:cs="Arial"/>
        </w:rPr>
        <w:t xml:space="preserve"> 128/2000 Sb., o obcích je </w:t>
      </w:r>
      <w:r w:rsidR="003808DD">
        <w:rPr>
          <w:rFonts w:ascii="Arial" w:hAnsi="Arial" w:cs="Arial"/>
        </w:rPr>
        <w:t xml:space="preserve">schválení </w:t>
      </w:r>
      <w:r w:rsidR="005B4BB4">
        <w:rPr>
          <w:rFonts w:ascii="Arial" w:hAnsi="Arial" w:cs="Arial"/>
        </w:rPr>
        <w:t xml:space="preserve">poskytnutí dotace v této výši a uzavření veřejnoprávní smlouvy vyhrazeno </w:t>
      </w:r>
      <w:r>
        <w:rPr>
          <w:rFonts w:ascii="Arial" w:hAnsi="Arial" w:cs="Arial"/>
        </w:rPr>
        <w:t xml:space="preserve">zastupitelstvu </w:t>
      </w:r>
      <w:r w:rsidR="005B4BB4">
        <w:rPr>
          <w:rFonts w:ascii="Arial" w:hAnsi="Arial" w:cs="Arial"/>
        </w:rPr>
        <w:t xml:space="preserve">města. </w:t>
      </w:r>
    </w:p>
    <w:p w:rsidR="000D157D" w:rsidRDefault="000D157D" w:rsidP="00081F00">
      <w:pPr>
        <w:jc w:val="both"/>
        <w:rPr>
          <w:rFonts w:ascii="Arial" w:hAnsi="Arial" w:cs="Arial"/>
        </w:rPr>
      </w:pPr>
    </w:p>
    <w:p w:rsidR="00CE1E1D" w:rsidRPr="00776A3C" w:rsidRDefault="00CE1E1D" w:rsidP="00CE1E1D">
      <w:pPr>
        <w:jc w:val="both"/>
        <w:rPr>
          <w:rFonts w:ascii="Arial" w:hAnsi="Arial" w:cs="Arial"/>
        </w:rPr>
      </w:pPr>
      <w:r>
        <w:rPr>
          <w:rFonts w:ascii="Arial" w:hAnsi="Arial" w:cs="Arial"/>
          <w:bCs/>
        </w:rPr>
        <w:t>Materiál bude projednán Radou města Prostějova na schůzi dne 31. 8. 2021.</w:t>
      </w:r>
    </w:p>
    <w:p w:rsidR="00CE1E1D" w:rsidRDefault="00CE1E1D" w:rsidP="00CE1E1D">
      <w:pPr>
        <w:jc w:val="both"/>
        <w:rPr>
          <w:rFonts w:ascii="Arial" w:hAnsi="Arial" w:cs="Arial"/>
        </w:rPr>
      </w:pPr>
    </w:p>
    <w:p w:rsidR="00CE1E1D" w:rsidRPr="00DC7EC5" w:rsidRDefault="00CE1E1D" w:rsidP="00CE1E1D">
      <w:pPr>
        <w:jc w:val="both"/>
        <w:rPr>
          <w:rFonts w:ascii="Arial" w:hAnsi="Arial" w:cs="Arial"/>
          <w:bCs/>
        </w:rPr>
      </w:pPr>
      <w:r w:rsidRPr="00DC7EC5">
        <w:rPr>
          <w:rFonts w:ascii="Arial" w:hAnsi="Arial" w:cs="Arial"/>
          <w:bCs/>
        </w:rPr>
        <w:t xml:space="preserve">Materiál </w:t>
      </w:r>
      <w:r>
        <w:rPr>
          <w:rFonts w:ascii="Arial" w:hAnsi="Arial" w:cs="Arial"/>
          <w:bCs/>
        </w:rPr>
        <w:t>bude</w:t>
      </w:r>
      <w:r w:rsidRPr="00DC7EC5">
        <w:rPr>
          <w:rFonts w:ascii="Arial" w:hAnsi="Arial" w:cs="Arial"/>
          <w:bCs/>
        </w:rPr>
        <w:t xml:space="preserve"> projednán dne </w:t>
      </w:r>
      <w:r>
        <w:rPr>
          <w:rFonts w:ascii="Arial" w:hAnsi="Arial" w:cs="Arial"/>
          <w:bCs/>
        </w:rPr>
        <w:t>31</w:t>
      </w:r>
      <w:r w:rsidRPr="00DC7EC5">
        <w:rPr>
          <w:rFonts w:ascii="Arial" w:hAnsi="Arial" w:cs="Arial"/>
          <w:bCs/>
        </w:rPr>
        <w:t>.</w:t>
      </w:r>
      <w:r>
        <w:rPr>
          <w:rFonts w:ascii="Arial" w:hAnsi="Arial" w:cs="Arial"/>
          <w:bCs/>
        </w:rPr>
        <w:t xml:space="preserve"> 8</w:t>
      </w:r>
      <w:r w:rsidRPr="00DC7EC5">
        <w:rPr>
          <w:rFonts w:ascii="Arial" w:hAnsi="Arial" w:cs="Arial"/>
          <w:bCs/>
        </w:rPr>
        <w:t>.</w:t>
      </w:r>
      <w:r>
        <w:rPr>
          <w:rFonts w:ascii="Arial" w:hAnsi="Arial" w:cs="Arial"/>
          <w:bCs/>
        </w:rPr>
        <w:t xml:space="preserve"> </w:t>
      </w:r>
      <w:r w:rsidRPr="00DC7EC5">
        <w:rPr>
          <w:rFonts w:ascii="Arial" w:hAnsi="Arial" w:cs="Arial"/>
          <w:bCs/>
        </w:rPr>
        <w:t>2021 na Finančním výboru ZMP.</w:t>
      </w:r>
    </w:p>
    <w:p w:rsidR="000D157D" w:rsidRDefault="000D157D" w:rsidP="000D157D">
      <w:pPr>
        <w:jc w:val="both"/>
        <w:rPr>
          <w:rFonts w:ascii="Arial" w:hAnsi="Arial" w:cs="Arial"/>
          <w:b/>
          <w:u w:val="single"/>
        </w:rPr>
      </w:pPr>
    </w:p>
    <w:p w:rsidR="00061B71" w:rsidRDefault="00BE75AA" w:rsidP="00061B71">
      <w:pPr>
        <w:ind w:left="2124" w:hanging="2124"/>
        <w:jc w:val="both"/>
        <w:rPr>
          <w:rFonts w:ascii="Arial" w:hAnsi="Arial" w:cs="Arial"/>
        </w:rPr>
      </w:pPr>
      <w:r w:rsidRPr="001559E5">
        <w:rPr>
          <w:rFonts w:ascii="Arial" w:hAnsi="Arial" w:cs="Arial"/>
        </w:rPr>
        <w:t>Příloh</w:t>
      </w:r>
      <w:r w:rsidR="00061B71">
        <w:rPr>
          <w:rFonts w:ascii="Arial" w:hAnsi="Arial" w:cs="Arial"/>
        </w:rPr>
        <w:t>y</w:t>
      </w:r>
      <w:r w:rsidRPr="001559E5">
        <w:rPr>
          <w:rFonts w:ascii="Arial" w:hAnsi="Arial" w:cs="Arial"/>
        </w:rPr>
        <w:t xml:space="preserve">: </w:t>
      </w:r>
      <w:r w:rsidRPr="001559E5">
        <w:rPr>
          <w:rFonts w:ascii="Arial" w:hAnsi="Arial" w:cs="Arial"/>
        </w:rPr>
        <w:tab/>
      </w:r>
    </w:p>
    <w:p w:rsidR="0043195A" w:rsidRDefault="003808DD" w:rsidP="006B0EE6">
      <w:pPr>
        <w:pStyle w:val="Odstavecseseznamem"/>
        <w:numPr>
          <w:ilvl w:val="0"/>
          <w:numId w:val="5"/>
        </w:numPr>
        <w:jc w:val="both"/>
        <w:rPr>
          <w:rFonts w:ascii="Arial" w:hAnsi="Arial" w:cs="Arial"/>
        </w:rPr>
      </w:pPr>
      <w:r>
        <w:rPr>
          <w:rFonts w:ascii="Arial" w:hAnsi="Arial" w:cs="Arial"/>
        </w:rPr>
        <w:t xml:space="preserve">veřejnoprávní smlouva </w:t>
      </w:r>
    </w:p>
    <w:p w:rsidR="007D2DA1" w:rsidRPr="00C008B4" w:rsidRDefault="007D2DA1" w:rsidP="007D2DA1">
      <w:pPr>
        <w:pStyle w:val="Odstavecseseznamem"/>
        <w:numPr>
          <w:ilvl w:val="0"/>
          <w:numId w:val="5"/>
        </w:numPr>
        <w:jc w:val="both"/>
        <w:rPr>
          <w:rFonts w:ascii="Arial" w:hAnsi="Arial" w:cs="Arial"/>
        </w:rPr>
      </w:pPr>
      <w:r>
        <w:rPr>
          <w:rFonts w:ascii="Arial" w:hAnsi="Arial" w:cs="Arial"/>
        </w:rPr>
        <w:t xml:space="preserve">žádost o individuální dotaci SSOOK </w:t>
      </w:r>
    </w:p>
    <w:p w:rsidR="007D2DA1" w:rsidRDefault="007D2DA1" w:rsidP="007D2DA1">
      <w:pPr>
        <w:pStyle w:val="Odstavecseseznamem"/>
        <w:jc w:val="both"/>
        <w:rPr>
          <w:rFonts w:ascii="Arial" w:hAnsi="Arial" w:cs="Arial"/>
        </w:rPr>
      </w:pPr>
    </w:p>
    <w:p w:rsidR="00236FD4" w:rsidRDefault="00236FD4">
      <w:pPr>
        <w:rPr>
          <w:rFonts w:ascii="Arial" w:hAnsi="Arial" w:cs="Arial"/>
        </w:rPr>
      </w:pPr>
      <w:r>
        <w:rPr>
          <w:rFonts w:ascii="Arial" w:hAnsi="Arial" w:cs="Arial"/>
        </w:rPr>
        <w:br w:type="page"/>
      </w:r>
    </w:p>
    <w:p w:rsidR="007D2DA1" w:rsidRDefault="007D2DA1" w:rsidP="007D2DA1">
      <w:pPr>
        <w:pStyle w:val="Odstavecseseznamem"/>
        <w:jc w:val="both"/>
        <w:rPr>
          <w:rFonts w:ascii="Arial" w:hAnsi="Arial" w:cs="Arial"/>
        </w:rPr>
      </w:pPr>
      <w:bookmarkStart w:id="0" w:name="_GoBack"/>
      <w:bookmarkEnd w:id="0"/>
    </w:p>
    <w:p w:rsidR="007D2DA1" w:rsidRDefault="007D2DA1" w:rsidP="007D2DA1">
      <w:pPr>
        <w:tabs>
          <w:tab w:val="left" w:pos="284"/>
        </w:tabs>
        <w:jc w:val="right"/>
        <w:rPr>
          <w:rFonts w:ascii="Arial" w:hAnsi="Arial" w:cs="Arial"/>
        </w:rPr>
      </w:pPr>
      <w:r w:rsidRPr="007D2DA1">
        <w:rPr>
          <w:rFonts w:ascii="Arial" w:hAnsi="Arial" w:cs="Arial"/>
        </w:rPr>
        <w:t>Příloha č. 1</w:t>
      </w:r>
    </w:p>
    <w:p w:rsidR="007D2DA1" w:rsidRDefault="007D2DA1" w:rsidP="007D2DA1">
      <w:pPr>
        <w:tabs>
          <w:tab w:val="left" w:pos="284"/>
        </w:tabs>
        <w:rPr>
          <w:rFonts w:ascii="Arial" w:hAnsi="Arial" w:cs="Arial"/>
        </w:rPr>
      </w:pPr>
    </w:p>
    <w:p w:rsidR="007D2DA1" w:rsidRPr="00AA6616" w:rsidRDefault="007D2DA1" w:rsidP="007D2DA1">
      <w:pPr>
        <w:jc w:val="center"/>
        <w:rPr>
          <w:b/>
          <w:sz w:val="28"/>
          <w:szCs w:val="28"/>
        </w:rPr>
      </w:pPr>
      <w:r w:rsidRPr="00AA6616">
        <w:rPr>
          <w:b/>
          <w:sz w:val="28"/>
          <w:szCs w:val="28"/>
        </w:rPr>
        <w:t>STATUTÁRNÍ MĚSTO PROSTĚJOV</w:t>
      </w:r>
    </w:p>
    <w:p w:rsidR="007D2DA1" w:rsidRPr="00AA6616" w:rsidRDefault="007D2DA1" w:rsidP="007D2DA1">
      <w:pPr>
        <w:jc w:val="center"/>
        <w:rPr>
          <w:sz w:val="28"/>
          <w:szCs w:val="28"/>
        </w:rPr>
      </w:pPr>
      <w:r w:rsidRPr="00AA6616">
        <w:rPr>
          <w:b/>
          <w:sz w:val="28"/>
          <w:szCs w:val="28"/>
        </w:rPr>
        <w:t xml:space="preserve"> </w:t>
      </w:r>
    </w:p>
    <w:p w:rsidR="007D2DA1" w:rsidRPr="00AA6616" w:rsidRDefault="007D2DA1" w:rsidP="007D2DA1">
      <w:pPr>
        <w:ind w:left="454" w:right="283" w:hanging="454"/>
        <w:jc w:val="center"/>
        <w:rPr>
          <w:b/>
          <w:sz w:val="28"/>
          <w:szCs w:val="28"/>
        </w:rPr>
      </w:pPr>
      <w:r w:rsidRPr="00AA6616">
        <w:rPr>
          <w:b/>
          <w:sz w:val="28"/>
          <w:szCs w:val="28"/>
        </w:rPr>
        <w:t>Smlouva o poskytnutí dotace</w:t>
      </w:r>
    </w:p>
    <w:p w:rsidR="007D2DA1" w:rsidRPr="00AA6616" w:rsidRDefault="007D2DA1" w:rsidP="007D2DA1">
      <w:pPr>
        <w:ind w:left="454" w:right="283" w:hanging="454"/>
        <w:jc w:val="center"/>
        <w:rPr>
          <w:b/>
          <w:sz w:val="28"/>
          <w:szCs w:val="28"/>
        </w:rPr>
      </w:pPr>
      <w:r w:rsidRPr="00AA6616">
        <w:rPr>
          <w:b/>
          <w:sz w:val="28"/>
          <w:szCs w:val="28"/>
        </w:rPr>
        <w:t>z rozpočtu statutárního města Prostějova</w:t>
      </w:r>
    </w:p>
    <w:p w:rsidR="007D2DA1" w:rsidRPr="00AA6616" w:rsidRDefault="007D2DA1" w:rsidP="007D2DA1">
      <w:pPr>
        <w:ind w:left="454" w:right="283" w:hanging="454"/>
        <w:jc w:val="center"/>
        <w:rPr>
          <w:b/>
        </w:rPr>
      </w:pPr>
    </w:p>
    <w:p w:rsidR="007D2DA1" w:rsidRPr="00AA6616" w:rsidRDefault="007D2DA1" w:rsidP="007D2DA1">
      <w:pPr>
        <w:ind w:left="454" w:right="283" w:hanging="454"/>
        <w:jc w:val="center"/>
        <w:rPr>
          <w:b/>
        </w:rPr>
      </w:pPr>
    </w:p>
    <w:p w:rsidR="007D2DA1" w:rsidRPr="00AA6616" w:rsidRDefault="007D2DA1" w:rsidP="007D2DA1">
      <w:pPr>
        <w:pStyle w:val="Nadpis6"/>
        <w:rPr>
          <w:rFonts w:ascii="Times New Roman" w:hAnsi="Times New Roman"/>
        </w:rPr>
      </w:pPr>
      <w:r w:rsidRPr="00AA6616">
        <w:rPr>
          <w:rFonts w:ascii="Times New Roman" w:hAnsi="Times New Roman"/>
        </w:rPr>
        <w:t xml:space="preserve">Níže uvedené smluvní strany  </w:t>
      </w:r>
    </w:p>
    <w:p w:rsidR="007D2DA1" w:rsidRPr="00AA6616" w:rsidRDefault="007D2DA1" w:rsidP="007D2DA1"/>
    <w:p w:rsidR="007D2DA1" w:rsidRPr="00AA6616" w:rsidRDefault="007D2DA1" w:rsidP="007D2DA1">
      <w:pPr>
        <w:pStyle w:val="Odstavecseseznamem"/>
        <w:numPr>
          <w:ilvl w:val="0"/>
          <w:numId w:val="22"/>
        </w:numPr>
        <w:ind w:left="284" w:hanging="284"/>
        <w:rPr>
          <w:b/>
        </w:rPr>
      </w:pPr>
      <w:r w:rsidRPr="00AA6616">
        <w:rPr>
          <w:b/>
        </w:rPr>
        <w:t>statutární město Prostějov, sídlem nám. T. G. Masaryka 130/14, 796 01 Prostějov,</w:t>
      </w:r>
      <w:r w:rsidRPr="00AA6616">
        <w:rPr>
          <w:b/>
        </w:rPr>
        <w:br/>
        <w:t xml:space="preserve">IČO  002 88 659 </w:t>
      </w:r>
    </w:p>
    <w:p w:rsidR="007D2DA1" w:rsidRPr="00AA6616" w:rsidRDefault="007D2DA1" w:rsidP="007D2DA1">
      <w:pPr>
        <w:ind w:left="284"/>
        <w:rPr>
          <w:b/>
        </w:rPr>
      </w:pPr>
      <w:proofErr w:type="spellStart"/>
      <w:r w:rsidRPr="00AA6616">
        <w:rPr>
          <w:b/>
        </w:rPr>
        <w:t>zast</w:t>
      </w:r>
      <w:proofErr w:type="spellEnd"/>
      <w:r w:rsidRPr="00AA6616">
        <w:rPr>
          <w:b/>
        </w:rPr>
        <w:t xml:space="preserve">.: </w:t>
      </w:r>
      <w:r>
        <w:rPr>
          <w:b/>
        </w:rPr>
        <w:tab/>
        <w:t>Mgr. František Jura, primátor</w:t>
      </w:r>
      <w:r w:rsidRPr="00AA6616">
        <w:rPr>
          <w:b/>
        </w:rPr>
        <w:t xml:space="preserve">  </w:t>
      </w:r>
    </w:p>
    <w:p w:rsidR="007D2DA1" w:rsidRPr="00AA6616" w:rsidRDefault="007D2DA1" w:rsidP="007D2DA1">
      <w:pPr>
        <w:ind w:left="284"/>
        <w:rPr>
          <w:b/>
        </w:rPr>
      </w:pPr>
      <w:r w:rsidRPr="00AA6616">
        <w:rPr>
          <w:b/>
        </w:rPr>
        <w:t xml:space="preserve">bankovní spojení: </w:t>
      </w:r>
      <w:r w:rsidRPr="00D50067">
        <w:rPr>
          <w:b/>
        </w:rPr>
        <w:t>27-1505517309/0800</w:t>
      </w:r>
    </w:p>
    <w:p w:rsidR="007D2DA1" w:rsidRPr="00AA6616" w:rsidRDefault="007D2DA1" w:rsidP="007D2DA1">
      <w:pPr>
        <w:ind w:left="284"/>
        <w:rPr>
          <w:b/>
        </w:rPr>
      </w:pPr>
      <w:r w:rsidRPr="00AA6616">
        <w:rPr>
          <w:b/>
        </w:rPr>
        <w:t xml:space="preserve">(dále jen "poskytovatel") </w:t>
      </w:r>
    </w:p>
    <w:p w:rsidR="007D2DA1" w:rsidRPr="00AA6616" w:rsidRDefault="007D2DA1" w:rsidP="007D2DA1">
      <w:pPr>
        <w:numPr>
          <w:ilvl w:val="12"/>
          <w:numId w:val="0"/>
        </w:numPr>
        <w:rPr>
          <w:b/>
        </w:rPr>
      </w:pPr>
    </w:p>
    <w:p w:rsidR="007D2DA1" w:rsidRPr="00AA6616" w:rsidRDefault="007D2DA1" w:rsidP="007D2DA1">
      <w:pPr>
        <w:numPr>
          <w:ilvl w:val="0"/>
          <w:numId w:val="9"/>
        </w:numPr>
        <w:ind w:left="284" w:hanging="284"/>
        <w:rPr>
          <w:b/>
        </w:rPr>
      </w:pPr>
      <w:r w:rsidRPr="003808DD">
        <w:rPr>
          <w:b/>
        </w:rPr>
        <w:t>Servisní společnost odpady Olomouckého kraje, a.s.</w:t>
      </w:r>
    </w:p>
    <w:p w:rsidR="007D2DA1" w:rsidRPr="00AA6616" w:rsidRDefault="007D2DA1" w:rsidP="007D2DA1">
      <w:pPr>
        <w:ind w:left="284"/>
        <w:rPr>
          <w:b/>
        </w:rPr>
      </w:pPr>
      <w:r w:rsidRPr="003808DD">
        <w:rPr>
          <w:b/>
        </w:rPr>
        <w:t>Jeremenkova 1191/40a, Hodolany, 779 00 Olomouc</w:t>
      </w:r>
      <w:r w:rsidRPr="00AA6616">
        <w:rPr>
          <w:b/>
        </w:rPr>
        <w:t xml:space="preserve"> </w:t>
      </w:r>
    </w:p>
    <w:p w:rsidR="007D2DA1" w:rsidRDefault="007D2DA1" w:rsidP="007D2DA1">
      <w:pPr>
        <w:ind w:left="284"/>
        <w:rPr>
          <w:b/>
        </w:rPr>
      </w:pPr>
      <w:r w:rsidRPr="00AA6616">
        <w:rPr>
          <w:b/>
        </w:rPr>
        <w:t xml:space="preserve">adresa pro doručování, je-li </w:t>
      </w:r>
      <w:r w:rsidRPr="00C77A7D">
        <w:rPr>
          <w:b/>
        </w:rPr>
        <w:t xml:space="preserve">odlišná od </w:t>
      </w:r>
      <w:r>
        <w:rPr>
          <w:b/>
        </w:rPr>
        <w:t>sídla společnosti</w:t>
      </w:r>
      <w:r w:rsidRPr="00C77A7D">
        <w:rPr>
          <w:b/>
        </w:rPr>
        <w:t xml:space="preserve">  </w:t>
      </w:r>
    </w:p>
    <w:p w:rsidR="007D2DA1" w:rsidRPr="00C77A7D" w:rsidRDefault="007D2DA1" w:rsidP="007D2DA1">
      <w:pPr>
        <w:ind w:left="284"/>
        <w:rPr>
          <w:b/>
        </w:rPr>
      </w:pPr>
      <w:r>
        <w:rPr>
          <w:b/>
        </w:rPr>
        <w:t>MM Olomouce, ekonomický odbor, Palackého 1198/14, 779 11 Olomouc</w:t>
      </w:r>
    </w:p>
    <w:p w:rsidR="007D2DA1" w:rsidRDefault="007D2DA1" w:rsidP="007D2DA1">
      <w:pPr>
        <w:ind w:left="284"/>
        <w:rPr>
          <w:b/>
        </w:rPr>
      </w:pPr>
      <w:r w:rsidRPr="00C77A7D">
        <w:rPr>
          <w:b/>
        </w:rPr>
        <w:t xml:space="preserve">IČO:  07686501 </w:t>
      </w:r>
    </w:p>
    <w:p w:rsidR="007D2DA1" w:rsidRPr="00C77A7D" w:rsidRDefault="007D2DA1" w:rsidP="007D2DA1">
      <w:pPr>
        <w:ind w:left="284"/>
        <w:rPr>
          <w:b/>
        </w:rPr>
      </w:pPr>
      <w:proofErr w:type="spellStart"/>
      <w:r w:rsidRPr="00C77A7D">
        <w:rPr>
          <w:b/>
        </w:rPr>
        <w:t>zast</w:t>
      </w:r>
      <w:proofErr w:type="spellEnd"/>
      <w:r w:rsidRPr="00C77A7D">
        <w:rPr>
          <w:b/>
        </w:rPr>
        <w:t xml:space="preserve">.: </w:t>
      </w:r>
      <w:r w:rsidRPr="00C77A7D">
        <w:rPr>
          <w:b/>
        </w:rPr>
        <w:tab/>
        <w:t xml:space="preserve">Mgr. Miroslav </w:t>
      </w:r>
      <w:proofErr w:type="spellStart"/>
      <w:r w:rsidRPr="00C77A7D">
        <w:rPr>
          <w:b/>
        </w:rPr>
        <w:t>Žbánek</w:t>
      </w:r>
      <w:proofErr w:type="spellEnd"/>
      <w:r w:rsidRPr="00C77A7D">
        <w:rPr>
          <w:b/>
        </w:rPr>
        <w:t>, předseda představenstva</w:t>
      </w:r>
    </w:p>
    <w:p w:rsidR="007D2DA1" w:rsidRPr="00C77A7D" w:rsidRDefault="007D2DA1" w:rsidP="007D2DA1">
      <w:pPr>
        <w:ind w:left="284"/>
        <w:rPr>
          <w:b/>
        </w:rPr>
      </w:pPr>
      <w:r w:rsidRPr="00C77A7D">
        <w:rPr>
          <w:b/>
        </w:rPr>
        <w:tab/>
      </w:r>
      <w:r w:rsidRPr="00C77A7D">
        <w:rPr>
          <w:b/>
        </w:rPr>
        <w:tab/>
        <w:t>Ing. et Ing. Martin Šmída, člen představenstva</w:t>
      </w:r>
    </w:p>
    <w:p w:rsidR="007D2DA1" w:rsidRPr="00AA6616" w:rsidRDefault="007D2DA1" w:rsidP="007D2DA1">
      <w:pPr>
        <w:ind w:left="284"/>
        <w:rPr>
          <w:b/>
        </w:rPr>
      </w:pPr>
      <w:proofErr w:type="gramStart"/>
      <w:r w:rsidRPr="00C77A7D">
        <w:rPr>
          <w:b/>
        </w:rPr>
        <w:t>................................................................................................................................................ bankovní</w:t>
      </w:r>
      <w:proofErr w:type="gramEnd"/>
      <w:r w:rsidRPr="00C77A7D">
        <w:rPr>
          <w:b/>
        </w:rPr>
        <w:t xml:space="preserve"> spojení: </w:t>
      </w:r>
      <w:r>
        <w:rPr>
          <w:b/>
        </w:rPr>
        <w:t xml:space="preserve">Česká spořitelna, a.s., </w:t>
      </w:r>
      <w:r w:rsidRPr="00C77A7D">
        <w:rPr>
          <w:b/>
        </w:rPr>
        <w:t xml:space="preserve">č. účtu: </w:t>
      </w:r>
      <w:r>
        <w:rPr>
          <w:b/>
        </w:rPr>
        <w:t>100035462/0800</w:t>
      </w:r>
    </w:p>
    <w:p w:rsidR="007D2DA1" w:rsidRDefault="007D2DA1" w:rsidP="007D2DA1">
      <w:pPr>
        <w:ind w:left="284"/>
      </w:pPr>
      <w:r w:rsidRPr="00AA6616">
        <w:rPr>
          <w:b/>
        </w:rPr>
        <w:t>právnická osoba zapsaná v</w:t>
      </w:r>
      <w:r>
        <w:rPr>
          <w:b/>
        </w:rPr>
        <w:t xml:space="preserve"> OR vedeném KS v Ostravě, </w:t>
      </w:r>
      <w:proofErr w:type="spellStart"/>
      <w:r w:rsidRPr="00AA6616">
        <w:rPr>
          <w:b/>
        </w:rPr>
        <w:t>sp</w:t>
      </w:r>
      <w:proofErr w:type="spellEnd"/>
      <w:r w:rsidRPr="00AA6616">
        <w:rPr>
          <w:b/>
        </w:rPr>
        <w:t>. zn</w:t>
      </w:r>
      <w:r>
        <w:rPr>
          <w:b/>
        </w:rPr>
        <w:t>.</w:t>
      </w:r>
      <w:r w:rsidRPr="00AA6616">
        <w:rPr>
          <w:b/>
        </w:rPr>
        <w:t xml:space="preserve">: </w:t>
      </w:r>
      <w:r w:rsidRPr="003808DD">
        <w:rPr>
          <w:b/>
        </w:rPr>
        <w:t>B 11088</w:t>
      </w:r>
      <w:r>
        <w:t xml:space="preserve"> </w:t>
      </w:r>
    </w:p>
    <w:p w:rsidR="007D2DA1" w:rsidRPr="00AA6616" w:rsidRDefault="007D2DA1" w:rsidP="007D2DA1">
      <w:pPr>
        <w:ind w:left="284"/>
        <w:rPr>
          <w:b/>
        </w:rPr>
      </w:pPr>
      <w:r w:rsidRPr="00AA6616">
        <w:rPr>
          <w:b/>
        </w:rPr>
        <w:t xml:space="preserve">(dále jen "příjemce") </w:t>
      </w:r>
    </w:p>
    <w:p w:rsidR="007D2DA1" w:rsidRPr="00AA6616" w:rsidRDefault="007D2DA1" w:rsidP="007D2DA1">
      <w:pPr>
        <w:rPr>
          <w:b/>
        </w:rPr>
      </w:pPr>
    </w:p>
    <w:p w:rsidR="007D2DA1" w:rsidRPr="00AA6616" w:rsidRDefault="007D2DA1" w:rsidP="007D2DA1">
      <w:pPr>
        <w:pStyle w:val="Zkladntext3"/>
        <w:rPr>
          <w:sz w:val="24"/>
        </w:rPr>
      </w:pPr>
      <w:r w:rsidRPr="00AA6616">
        <w:rPr>
          <w:sz w:val="24"/>
        </w:rPr>
        <w:t>uzavřely níže uvedeného dne, měsíce a roku v souladu s ustanovením § 159 zákona</w:t>
      </w:r>
      <w:r w:rsidRPr="00AA6616">
        <w:rPr>
          <w:sz w:val="24"/>
        </w:rPr>
        <w:br/>
        <w:t>č. 500/2004 Sb., správní řád, ve znění pozdějších právních předpisů, a v souladu s příslušnými ustanoveními zákona č. 250/2000 Sb., o rozpočtových pravidlech územních rozpočtů, ve znění pozdějších předpisů, tuto</w:t>
      </w:r>
    </w:p>
    <w:p w:rsidR="007D2DA1" w:rsidRPr="00AA6616" w:rsidRDefault="007D2DA1" w:rsidP="007D2DA1"/>
    <w:p w:rsidR="007D2DA1" w:rsidRPr="00AA6616" w:rsidRDefault="007D2DA1" w:rsidP="007D2DA1"/>
    <w:p w:rsidR="007D2DA1" w:rsidRPr="00AA6616" w:rsidRDefault="007D2DA1" w:rsidP="007D2DA1">
      <w:pPr>
        <w:jc w:val="center"/>
        <w:rPr>
          <w:b/>
        </w:rPr>
      </w:pPr>
      <w:proofErr w:type="gramStart"/>
      <w:r w:rsidRPr="00AA6616">
        <w:rPr>
          <w:b/>
        </w:rPr>
        <w:t>s m l o u v u   o   p o s k y t n u t í   d o t a c e</w:t>
      </w:r>
      <w:proofErr w:type="gramEnd"/>
    </w:p>
    <w:p w:rsidR="007D2DA1" w:rsidRPr="00AA6616" w:rsidRDefault="007D2DA1" w:rsidP="007D2DA1">
      <w:pPr>
        <w:rPr>
          <w:b/>
        </w:rPr>
      </w:pPr>
    </w:p>
    <w:p w:rsidR="007D2DA1" w:rsidRPr="00AA6616" w:rsidRDefault="007D2DA1" w:rsidP="007D2DA1">
      <w:pPr>
        <w:pStyle w:val="Zkladntext31"/>
        <w:rPr>
          <w:b w:val="0"/>
          <w:bCs/>
          <w:sz w:val="24"/>
          <w:szCs w:val="24"/>
        </w:rPr>
      </w:pPr>
    </w:p>
    <w:p w:rsidR="007D2DA1" w:rsidRPr="00AA6616" w:rsidRDefault="007D2DA1" w:rsidP="007D2DA1">
      <w:pPr>
        <w:pStyle w:val="Zkladntext31"/>
        <w:jc w:val="center"/>
        <w:rPr>
          <w:b w:val="0"/>
          <w:bCs/>
          <w:sz w:val="24"/>
          <w:szCs w:val="24"/>
        </w:rPr>
      </w:pPr>
      <w:r w:rsidRPr="00AA6616">
        <w:rPr>
          <w:bCs/>
          <w:sz w:val="24"/>
          <w:szCs w:val="24"/>
        </w:rPr>
        <w:t>I.</w:t>
      </w:r>
    </w:p>
    <w:p w:rsidR="007D2DA1" w:rsidRPr="00AA6616" w:rsidRDefault="007D2DA1" w:rsidP="007D2DA1">
      <w:pPr>
        <w:pStyle w:val="Zkladntext31"/>
        <w:jc w:val="center"/>
        <w:rPr>
          <w:sz w:val="24"/>
          <w:szCs w:val="24"/>
        </w:rPr>
      </w:pPr>
      <w:r w:rsidRPr="00AA6616">
        <w:rPr>
          <w:bCs/>
          <w:sz w:val="24"/>
          <w:szCs w:val="24"/>
        </w:rPr>
        <w:t>Význam a účel smlouvy</w:t>
      </w:r>
    </w:p>
    <w:p w:rsidR="007D2DA1" w:rsidRPr="00AA6616" w:rsidRDefault="007D2DA1" w:rsidP="007D2DA1">
      <w:pPr>
        <w:pStyle w:val="Zkladntext31"/>
        <w:jc w:val="center"/>
        <w:rPr>
          <w:sz w:val="24"/>
          <w:szCs w:val="24"/>
        </w:rPr>
      </w:pPr>
    </w:p>
    <w:p w:rsidR="007D2DA1" w:rsidRPr="00AA6616" w:rsidRDefault="007D2DA1" w:rsidP="007D2DA1">
      <w:pPr>
        <w:numPr>
          <w:ilvl w:val="0"/>
          <w:numId w:val="10"/>
        </w:numPr>
        <w:ind w:left="357" w:hanging="357"/>
        <w:jc w:val="both"/>
      </w:pPr>
      <w:r w:rsidRPr="00AA6616">
        <w:t>Tato smlouva stanoví práva a povinnosti smluvních stran při poskytnutí a čerpání dotace</w:t>
      </w:r>
      <w:r w:rsidRPr="00AA6616">
        <w:br/>
        <w:t>z rozpočtu poskytovatele.</w:t>
      </w:r>
    </w:p>
    <w:p w:rsidR="007D2DA1" w:rsidRPr="00AA6616" w:rsidRDefault="007D2DA1" w:rsidP="007D2DA1">
      <w:pPr>
        <w:jc w:val="both"/>
      </w:pPr>
    </w:p>
    <w:p w:rsidR="007D2DA1" w:rsidRPr="00AA6616" w:rsidRDefault="007D2DA1" w:rsidP="007D2DA1">
      <w:pPr>
        <w:numPr>
          <w:ilvl w:val="0"/>
          <w:numId w:val="10"/>
        </w:numPr>
        <w:ind w:left="357" w:hanging="357"/>
        <w:jc w:val="both"/>
      </w:pPr>
      <w:r w:rsidRPr="00AA6616">
        <w:t>Dotace je určená k zabezpečení veřejných potřeb a dosažení účelu, který je sjednán touto smlouvou.</w:t>
      </w:r>
    </w:p>
    <w:p w:rsidR="007D2DA1" w:rsidRDefault="007D2DA1" w:rsidP="007D2DA1">
      <w:pPr>
        <w:pStyle w:val="Zhlav"/>
        <w:tabs>
          <w:tab w:val="clear" w:pos="4536"/>
          <w:tab w:val="clear" w:pos="9072"/>
        </w:tabs>
      </w:pPr>
    </w:p>
    <w:p w:rsidR="007D2DA1" w:rsidRDefault="007D2DA1" w:rsidP="007D2DA1">
      <w:pPr>
        <w:pStyle w:val="Zhlav"/>
        <w:tabs>
          <w:tab w:val="clear" w:pos="4536"/>
          <w:tab w:val="clear" w:pos="9072"/>
        </w:tabs>
      </w:pPr>
    </w:p>
    <w:p w:rsidR="007D2DA1" w:rsidRDefault="007D2DA1" w:rsidP="007D2DA1">
      <w:pPr>
        <w:pStyle w:val="Zhlav"/>
        <w:tabs>
          <w:tab w:val="clear" w:pos="4536"/>
          <w:tab w:val="clear" w:pos="9072"/>
        </w:tabs>
      </w:pPr>
    </w:p>
    <w:p w:rsidR="007D2DA1" w:rsidRDefault="007D2DA1" w:rsidP="007D2DA1">
      <w:pPr>
        <w:pStyle w:val="Zhlav"/>
        <w:tabs>
          <w:tab w:val="clear" w:pos="4536"/>
          <w:tab w:val="clear" w:pos="9072"/>
        </w:tabs>
      </w:pPr>
    </w:p>
    <w:p w:rsidR="007D2DA1" w:rsidRPr="00AA6616" w:rsidRDefault="007D2DA1" w:rsidP="007D2DA1">
      <w:pPr>
        <w:pStyle w:val="Zhlav"/>
        <w:tabs>
          <w:tab w:val="clear" w:pos="4536"/>
          <w:tab w:val="clear" w:pos="9072"/>
        </w:tabs>
      </w:pPr>
    </w:p>
    <w:p w:rsidR="007D2DA1" w:rsidRPr="00AA6616" w:rsidRDefault="007D2DA1" w:rsidP="007D2DA1">
      <w:pPr>
        <w:pStyle w:val="Zkladntext31"/>
        <w:rPr>
          <w:b w:val="0"/>
          <w:bCs/>
          <w:sz w:val="24"/>
          <w:szCs w:val="24"/>
        </w:rPr>
      </w:pPr>
    </w:p>
    <w:p w:rsidR="007D2DA1" w:rsidRPr="00AA6616" w:rsidRDefault="007D2DA1" w:rsidP="007D2DA1">
      <w:pPr>
        <w:pStyle w:val="Zkladntext31"/>
        <w:jc w:val="center"/>
        <w:rPr>
          <w:b w:val="0"/>
          <w:bCs/>
          <w:sz w:val="24"/>
          <w:szCs w:val="24"/>
        </w:rPr>
      </w:pPr>
      <w:r w:rsidRPr="00AA6616">
        <w:rPr>
          <w:bCs/>
          <w:sz w:val="24"/>
          <w:szCs w:val="24"/>
        </w:rPr>
        <w:t>II.</w:t>
      </w:r>
    </w:p>
    <w:p w:rsidR="007D2DA1" w:rsidRPr="00AA6616" w:rsidRDefault="007D2DA1" w:rsidP="007D2DA1">
      <w:pPr>
        <w:pStyle w:val="Zkladntext31"/>
        <w:jc w:val="center"/>
        <w:rPr>
          <w:b w:val="0"/>
          <w:bCs/>
          <w:sz w:val="24"/>
          <w:szCs w:val="24"/>
        </w:rPr>
      </w:pPr>
      <w:r w:rsidRPr="00AA6616">
        <w:rPr>
          <w:bCs/>
          <w:sz w:val="24"/>
          <w:szCs w:val="24"/>
        </w:rPr>
        <w:t>Předmět smlouvy</w:t>
      </w:r>
    </w:p>
    <w:p w:rsidR="007D2DA1" w:rsidRPr="00AA6616" w:rsidRDefault="007D2DA1" w:rsidP="007D2DA1">
      <w:pPr>
        <w:pStyle w:val="Zkladntext31"/>
        <w:rPr>
          <w:b w:val="0"/>
          <w:bCs/>
          <w:sz w:val="24"/>
          <w:szCs w:val="24"/>
        </w:rPr>
      </w:pPr>
    </w:p>
    <w:p w:rsidR="007D2DA1" w:rsidRPr="00AA6616" w:rsidRDefault="007D2DA1" w:rsidP="007D2DA1">
      <w:pPr>
        <w:numPr>
          <w:ilvl w:val="0"/>
          <w:numId w:val="16"/>
        </w:numPr>
        <w:jc w:val="both"/>
      </w:pPr>
      <w:r w:rsidRPr="00AA6616">
        <w:t xml:space="preserve">Poskytovatel se touto smlouvou zavazuje poskytnout příjemci z rozpočtu statutárního města Prostějova (dále jen „město Prostějov“) na rok </w:t>
      </w:r>
      <w:r>
        <w:t>2021</w:t>
      </w:r>
      <w:r w:rsidRPr="00AA6616">
        <w:t xml:space="preserve"> dotaci ve výši </w:t>
      </w:r>
      <w:r>
        <w:t>88 420,- K</w:t>
      </w:r>
      <w:r w:rsidRPr="00AA6616">
        <w:t>č, slovy:</w:t>
      </w:r>
      <w:r>
        <w:t xml:space="preserve"> osmdesát osm tisíc čtyři sta dvacet korun českých</w:t>
      </w:r>
      <w:r w:rsidRPr="00AA6616">
        <w:t xml:space="preserve"> (dále jen ”</w:t>
      </w:r>
      <w:r w:rsidRPr="00AA6616">
        <w:rPr>
          <w:b/>
        </w:rPr>
        <w:t>dotace”</w:t>
      </w:r>
      <w:r w:rsidRPr="00AA6616">
        <w:t xml:space="preserve">) za níže uvedených podmínek a na níže uvedený účel. </w:t>
      </w:r>
    </w:p>
    <w:p w:rsidR="007D2DA1" w:rsidRPr="00AA6616" w:rsidRDefault="007D2DA1" w:rsidP="007D2DA1">
      <w:pPr>
        <w:ind w:left="360"/>
        <w:jc w:val="both"/>
      </w:pPr>
    </w:p>
    <w:p w:rsidR="007D2DA1" w:rsidRPr="00AA6616" w:rsidRDefault="007D2DA1" w:rsidP="007D2DA1">
      <w:pPr>
        <w:numPr>
          <w:ilvl w:val="0"/>
          <w:numId w:val="16"/>
        </w:numPr>
        <w:jc w:val="both"/>
      </w:pPr>
      <w:r w:rsidRPr="00AA6616">
        <w:t>Dotace podléhá zúčtování s rozpočtem města. Příjemci na dotaci vzniká nárok až na základě provedení závěrečné kontroly splnění podmínek jejího užití, pokud závěr této kontroly osvědčí, že byla použita v souladu s podmínkami stanovenými poskytovatelem.</w:t>
      </w:r>
    </w:p>
    <w:p w:rsidR="007D2DA1" w:rsidRPr="00AA6616" w:rsidRDefault="007D2DA1" w:rsidP="007D2DA1">
      <w:pPr>
        <w:jc w:val="both"/>
      </w:pPr>
    </w:p>
    <w:p w:rsidR="007D2DA1" w:rsidRPr="00AA6616" w:rsidRDefault="007D2DA1" w:rsidP="007D2DA1">
      <w:pPr>
        <w:numPr>
          <w:ilvl w:val="0"/>
          <w:numId w:val="16"/>
        </w:numPr>
        <w:jc w:val="both"/>
        <w:rPr>
          <w:color w:val="000000"/>
        </w:rPr>
      </w:pPr>
      <w:r w:rsidRPr="00AA6616">
        <w:t>Příjemce tuto dotaci za níže uvedených podmínek bez výhrad přijímá. Příjemce současně uděluje poskytovateli výslovný souhlas se zveřejněním svého jména a příjmení, roku narození (u fyzických osob nepodnikajících), názvu nebo obchodní firmy, dále adresy, místa podnikání nebo sídla, účelu a výše poskytnuté dotace a případným zveřejněním textu této smlouvy v souladu se zákonem č. 106/1999 Sb., o svobodném přístupu k informacím, ve znění pozdějších předpisů,</w:t>
      </w:r>
      <w:r>
        <w:t xml:space="preserve"> </w:t>
      </w:r>
      <w:r w:rsidRPr="00AA6616">
        <w:rPr>
          <w:color w:val="000000"/>
        </w:rPr>
        <w:t>ustanovením § 10d zákona č. 250/2000 Sb., o rozpočtových pravidlech územních rozpočtů,</w:t>
      </w:r>
      <w:r>
        <w:rPr>
          <w:color w:val="000000"/>
        </w:rPr>
        <w:t xml:space="preserve"> </w:t>
      </w:r>
      <w:r w:rsidRPr="00AA6616">
        <w:rPr>
          <w:color w:val="000000"/>
        </w:rPr>
        <w:t>ve znění pozdějších předpisů a zákonem č. 340/2015 Sb., o zvláštních podmínkách účinnosti některých smluv, uveřejňování těchto smluv a o registru smluv (zákon o registru smluv).</w:t>
      </w:r>
    </w:p>
    <w:p w:rsidR="007D2DA1" w:rsidRPr="00AA6616" w:rsidRDefault="007D2DA1" w:rsidP="007D2DA1">
      <w:pPr>
        <w:pStyle w:val="Zkladntext31"/>
        <w:rPr>
          <w:b w:val="0"/>
          <w:bCs/>
          <w:sz w:val="24"/>
          <w:szCs w:val="24"/>
        </w:rPr>
      </w:pPr>
    </w:p>
    <w:p w:rsidR="007D2DA1" w:rsidRPr="00AA6616" w:rsidRDefault="007D2DA1" w:rsidP="007D2DA1">
      <w:pPr>
        <w:pStyle w:val="Zkladntext31"/>
        <w:jc w:val="center"/>
        <w:rPr>
          <w:b w:val="0"/>
          <w:bCs/>
          <w:sz w:val="24"/>
          <w:szCs w:val="24"/>
        </w:rPr>
      </w:pPr>
      <w:r w:rsidRPr="00AA6616">
        <w:rPr>
          <w:bCs/>
          <w:sz w:val="24"/>
          <w:szCs w:val="24"/>
        </w:rPr>
        <w:t>III.</w:t>
      </w:r>
    </w:p>
    <w:p w:rsidR="007D2DA1" w:rsidRPr="00AA6616" w:rsidRDefault="007D2DA1" w:rsidP="007D2DA1">
      <w:pPr>
        <w:pStyle w:val="Zkladntext31"/>
        <w:jc w:val="center"/>
        <w:rPr>
          <w:b w:val="0"/>
          <w:bCs/>
          <w:sz w:val="24"/>
          <w:szCs w:val="24"/>
        </w:rPr>
      </w:pPr>
      <w:r w:rsidRPr="00AA6616">
        <w:rPr>
          <w:bCs/>
          <w:sz w:val="24"/>
          <w:szCs w:val="24"/>
        </w:rPr>
        <w:t>Použití a účel dotace</w:t>
      </w:r>
    </w:p>
    <w:p w:rsidR="007D2DA1" w:rsidRPr="00AA6616" w:rsidRDefault="007D2DA1" w:rsidP="007D2DA1">
      <w:pPr>
        <w:jc w:val="both"/>
      </w:pPr>
    </w:p>
    <w:p w:rsidR="007D2DA1" w:rsidRDefault="007D2DA1" w:rsidP="007D2DA1">
      <w:pPr>
        <w:numPr>
          <w:ilvl w:val="0"/>
          <w:numId w:val="20"/>
        </w:numPr>
        <w:jc w:val="both"/>
      </w:pPr>
      <w:r w:rsidRPr="00AA6616">
        <w:t xml:space="preserve">Dotace je účelově vázána na: </w:t>
      </w:r>
    </w:p>
    <w:p w:rsidR="007D2DA1" w:rsidRDefault="007D2DA1" w:rsidP="007D2DA1">
      <w:pPr>
        <w:pStyle w:val="Odstavecseseznamem"/>
        <w:numPr>
          <w:ilvl w:val="0"/>
          <w:numId w:val="31"/>
        </w:numPr>
        <w:jc w:val="both"/>
      </w:pPr>
      <w:r>
        <w:t>zpracování nezbytných interních předpisů, jejich existence je povinná dle aktuálně platné legislativy</w:t>
      </w:r>
    </w:p>
    <w:p w:rsidR="007D2DA1" w:rsidRDefault="007D2DA1" w:rsidP="007D2DA1">
      <w:pPr>
        <w:pStyle w:val="Odstavecseseznamem"/>
        <w:numPr>
          <w:ilvl w:val="0"/>
          <w:numId w:val="31"/>
        </w:numPr>
        <w:jc w:val="both"/>
      </w:pPr>
      <w:r>
        <w:t>vytvoření informační internetové stránky společnosti, která bude zapracovávat informace a novinky z oblasti odpadového hospodářství se zaměřením na potřeby měst a obcí Olomouckého kraje</w:t>
      </w:r>
    </w:p>
    <w:p w:rsidR="007D2DA1" w:rsidRDefault="007D2DA1" w:rsidP="007D2DA1">
      <w:pPr>
        <w:pStyle w:val="Odstavecseseznamem"/>
        <w:numPr>
          <w:ilvl w:val="0"/>
          <w:numId w:val="31"/>
        </w:numPr>
        <w:jc w:val="both"/>
      </w:pPr>
      <w:r>
        <w:t xml:space="preserve">úhradu přípravných prací souvisejících s workshopem na téma budoucnosti odpadového hospodářství </w:t>
      </w:r>
    </w:p>
    <w:p w:rsidR="007D2DA1" w:rsidRPr="00AA6616" w:rsidRDefault="007D2DA1" w:rsidP="007D2DA1">
      <w:pPr>
        <w:ind w:left="360"/>
        <w:jc w:val="both"/>
      </w:pPr>
      <w:r w:rsidRPr="00AA6616">
        <w:t>Příjemce se zavazuje a je oprávněn dotaci použít výhradně k uvedenému účelu.</w:t>
      </w:r>
    </w:p>
    <w:p w:rsidR="007D2DA1" w:rsidRPr="00AA6616" w:rsidRDefault="007D2DA1" w:rsidP="007D2DA1">
      <w:pPr>
        <w:ind w:left="360"/>
        <w:jc w:val="both"/>
      </w:pPr>
    </w:p>
    <w:p w:rsidR="007D2DA1" w:rsidRPr="00AA6616" w:rsidRDefault="007D2DA1" w:rsidP="007D2DA1">
      <w:pPr>
        <w:numPr>
          <w:ilvl w:val="0"/>
          <w:numId w:val="20"/>
        </w:numPr>
        <w:jc w:val="both"/>
      </w:pPr>
      <w:r w:rsidRPr="00AA6616">
        <w:t xml:space="preserve">Příjemce je povinen poskytnutou dotaci použít v souladu se sjednaným účelem nejpozději do </w:t>
      </w:r>
      <w:r>
        <w:t>30. 9. 2022.</w:t>
      </w:r>
    </w:p>
    <w:p w:rsidR="007D2DA1" w:rsidRPr="00AA6616" w:rsidRDefault="007D2DA1" w:rsidP="007D2DA1">
      <w:pPr>
        <w:ind w:left="360"/>
        <w:jc w:val="both"/>
      </w:pPr>
    </w:p>
    <w:p w:rsidR="007D2DA1" w:rsidRPr="004A7A9C" w:rsidRDefault="007D2DA1" w:rsidP="007D2DA1">
      <w:pPr>
        <w:numPr>
          <w:ilvl w:val="0"/>
          <w:numId w:val="20"/>
        </w:numPr>
        <w:jc w:val="both"/>
      </w:pPr>
      <w:r w:rsidRPr="00AA6616">
        <w:t xml:space="preserve">Příjemce je </w:t>
      </w:r>
      <w:r w:rsidRPr="004A7A9C">
        <w:t>oprávněn použít dotaci na úhradu nákladů odpovídajících účelu a dalším podmínkám užití dotace dle této smlouvy, které mu vznikly v období od 1.</w:t>
      </w:r>
      <w:r>
        <w:t xml:space="preserve"> </w:t>
      </w:r>
      <w:r w:rsidRPr="004A7A9C">
        <w:t>10.</w:t>
      </w:r>
      <w:r>
        <w:t xml:space="preserve"> </w:t>
      </w:r>
      <w:r w:rsidRPr="004A7A9C">
        <w:t>2021</w:t>
      </w:r>
      <w:r>
        <w:br/>
      </w:r>
      <w:r w:rsidRPr="004A7A9C">
        <w:t>do 30.</w:t>
      </w:r>
      <w:r>
        <w:t xml:space="preserve"> </w:t>
      </w:r>
      <w:r w:rsidRPr="004A7A9C">
        <w:t>9.</w:t>
      </w:r>
      <w:r>
        <w:t xml:space="preserve"> </w:t>
      </w:r>
      <w:r w:rsidRPr="004A7A9C">
        <w:t xml:space="preserve">2022.  </w:t>
      </w:r>
    </w:p>
    <w:p w:rsidR="007D2DA1" w:rsidRPr="00AA6616" w:rsidRDefault="007D2DA1" w:rsidP="007D2DA1">
      <w:pPr>
        <w:pStyle w:val="Odstavecseseznamem"/>
      </w:pPr>
    </w:p>
    <w:p w:rsidR="007D2DA1" w:rsidRPr="00AA6616" w:rsidRDefault="007D2DA1" w:rsidP="007D2DA1">
      <w:pPr>
        <w:pStyle w:val="Odstavecseseznamem"/>
        <w:numPr>
          <w:ilvl w:val="0"/>
          <w:numId w:val="20"/>
        </w:numPr>
        <w:jc w:val="both"/>
      </w:pPr>
      <w:r w:rsidRPr="00AA6616">
        <w:t xml:space="preserve">Nepoužitou účelově a časově omezenou dotaci nebo její část je příjemce povinen </w:t>
      </w:r>
      <w:r w:rsidRPr="00AA6616">
        <w:br/>
        <w:t xml:space="preserve">a zavazuje se vrátit nejpozději do 30 kalendářních dnů po uplynutí lhůty uvedené </w:t>
      </w:r>
      <w:r w:rsidRPr="00AA6616">
        <w:br/>
        <w:t>v odst. 2. tohoto článku smlouvy na účet poskytovatele uvedený v čl. VII. odst. 6 této smlouvy.</w:t>
      </w:r>
    </w:p>
    <w:p w:rsidR="007D2DA1" w:rsidRPr="00AA6616" w:rsidRDefault="007D2DA1" w:rsidP="007D2DA1">
      <w:pPr>
        <w:pStyle w:val="Odstavecseseznamem"/>
        <w:ind w:left="360"/>
        <w:jc w:val="both"/>
      </w:pPr>
    </w:p>
    <w:p w:rsidR="007D2DA1" w:rsidRPr="00AA6616" w:rsidRDefault="007D2DA1" w:rsidP="007D2DA1">
      <w:pPr>
        <w:pStyle w:val="Odstavecseseznamem"/>
        <w:numPr>
          <w:ilvl w:val="0"/>
          <w:numId w:val="20"/>
        </w:numPr>
        <w:jc w:val="both"/>
      </w:pPr>
      <w:r w:rsidRPr="00AA6616">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w:t>
      </w:r>
      <w:r w:rsidRPr="00AA6616">
        <w:lastRenderedPageBreak/>
        <w:t xml:space="preserve">ZDPH, popř. kombinací obou způsobů), nelze z dotace uhradit DPH ve výši tohoto odpočtu DPH, na který příjemci vznikl nárok. </w:t>
      </w:r>
    </w:p>
    <w:p w:rsidR="007D2DA1" w:rsidRPr="00AA6616" w:rsidRDefault="007D2DA1" w:rsidP="007D2DA1">
      <w:pPr>
        <w:ind w:left="357"/>
        <w:jc w:val="both"/>
      </w:pPr>
      <w:r w:rsidRPr="00AA6616">
        <w:t xml:space="preserve">V případě, že si příjemce – plátce DPH bude uplatňovat nárok na odpočet daně z přijatých zdanitelných plnění v souvislosti s realizací projektu, na který byla dotace poskytnuta, </w:t>
      </w:r>
      <w:r w:rsidRPr="00AA6616">
        <w:br/>
        <w:t xml:space="preserve">a to nárok na odpočet v plné či částečné výši, uvede na veškerých vyúčtovacích dokladech finanční částky bez DPH odpovídající výši, která mohla být uplatněna v odpočtu daně </w:t>
      </w:r>
      <w:r w:rsidRPr="00AA6616">
        <w:br/>
        <w:t xml:space="preserve">na základě daňového přiznání k DPH. </w:t>
      </w:r>
    </w:p>
    <w:p w:rsidR="007D2DA1" w:rsidRPr="00AA6616" w:rsidRDefault="007D2DA1" w:rsidP="007D2DA1">
      <w:pPr>
        <w:pStyle w:val="Odstavecseseznamem"/>
        <w:ind w:left="360"/>
        <w:jc w:val="both"/>
      </w:pPr>
      <w:r w:rsidRPr="00AA6616">
        <w:t xml:space="preserve">Příjemce – neplátce DPH uvede na veškerých vyúčtovacích dokladech finanční částky včetně DPH.  </w:t>
      </w:r>
    </w:p>
    <w:p w:rsidR="007D2DA1" w:rsidRPr="00AA6616" w:rsidRDefault="007D2DA1" w:rsidP="007D2DA1">
      <w:pPr>
        <w:ind w:left="360"/>
        <w:jc w:val="both"/>
      </w:pPr>
    </w:p>
    <w:p w:rsidR="007D2DA1" w:rsidRPr="00AA6616" w:rsidRDefault="007D2DA1" w:rsidP="007D2DA1">
      <w:pPr>
        <w:pStyle w:val="Odstavecseseznamem"/>
        <w:numPr>
          <w:ilvl w:val="0"/>
          <w:numId w:val="20"/>
        </w:numPr>
        <w:jc w:val="both"/>
      </w:pPr>
      <w:r w:rsidRPr="00AA6616">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7D2DA1" w:rsidRPr="00AA6616" w:rsidRDefault="007D2DA1" w:rsidP="007D2DA1">
      <w:pPr>
        <w:jc w:val="both"/>
      </w:pPr>
    </w:p>
    <w:p w:rsidR="007D2DA1" w:rsidRPr="00AA6616" w:rsidRDefault="007D2DA1" w:rsidP="007D2DA1">
      <w:pPr>
        <w:pStyle w:val="Odstavecseseznamem"/>
        <w:numPr>
          <w:ilvl w:val="0"/>
          <w:numId w:val="20"/>
        </w:numPr>
        <w:jc w:val="both"/>
      </w:pPr>
      <w:r w:rsidRPr="00AA6616">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Tuto částku příjemce vrátí do </w:t>
      </w:r>
      <w:r w:rsidRPr="00AA6616">
        <w:br/>
        <w:t>30 kalendářních dnů ode dne, kdy příslušný státní orgán vrátil příjemci uhrazenou DPH.</w:t>
      </w:r>
    </w:p>
    <w:p w:rsidR="007D2DA1" w:rsidRPr="00AA6616" w:rsidRDefault="007D2DA1" w:rsidP="007D2DA1">
      <w:pPr>
        <w:jc w:val="both"/>
      </w:pPr>
    </w:p>
    <w:p w:rsidR="007D2DA1" w:rsidRPr="00AA6616" w:rsidRDefault="007D2DA1" w:rsidP="007D2DA1">
      <w:pPr>
        <w:pStyle w:val="Odstavecseseznamem"/>
        <w:numPr>
          <w:ilvl w:val="0"/>
          <w:numId w:val="20"/>
        </w:numPr>
        <w:jc w:val="both"/>
      </w:pPr>
      <w:r w:rsidRPr="00AA6616">
        <w:t xml:space="preserve">Pokud má příjemce (plátce daně) ve shodě s úpravou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kalendářních dnů ode dne, kdy příslušný státní orgán vrátil příjemci uhrazenou DPH. </w:t>
      </w:r>
    </w:p>
    <w:p w:rsidR="007D2DA1" w:rsidRPr="00AA6616" w:rsidRDefault="007D2DA1" w:rsidP="007D2DA1">
      <w:pPr>
        <w:pStyle w:val="Default"/>
        <w:ind w:left="357"/>
        <w:jc w:val="both"/>
        <w:rPr>
          <w:rFonts w:ascii="Times New Roman" w:hAnsi="Times New Roman" w:cs="Times New Roman"/>
          <w:color w:val="auto"/>
        </w:rPr>
      </w:pPr>
      <w:r w:rsidRPr="00AA6616">
        <w:rPr>
          <w:rFonts w:ascii="Times New Roman" w:hAnsi="Times New Roman" w:cs="Times New Roman"/>
          <w:color w:val="auto"/>
        </w:rPr>
        <w:t xml:space="preserve">Nevrátí-li příjemce takovou část dotace v této lhůtě, dopustí se porušení rozpočtové kázně ve smyslu </w:t>
      </w:r>
      <w:proofErr w:type="spellStart"/>
      <w:r w:rsidRPr="00AA6616">
        <w:rPr>
          <w:rFonts w:ascii="Times New Roman" w:hAnsi="Times New Roman" w:cs="Times New Roman"/>
          <w:color w:val="auto"/>
        </w:rPr>
        <w:t>ust</w:t>
      </w:r>
      <w:proofErr w:type="spellEnd"/>
      <w:r w:rsidRPr="00AA6616">
        <w:rPr>
          <w:rFonts w:ascii="Times New Roman" w:hAnsi="Times New Roman" w:cs="Times New Roman"/>
          <w:color w:val="auto"/>
        </w:rPr>
        <w:t xml:space="preserve">. § 22 zákona č. 250/2000 Sb., o rozpočtových pravidlech územních rozpočtů, ve znění pozdějších předpisů. </w:t>
      </w:r>
    </w:p>
    <w:p w:rsidR="007D2DA1" w:rsidRPr="00AA6616" w:rsidRDefault="007D2DA1" w:rsidP="007D2DA1">
      <w:pPr>
        <w:pStyle w:val="Default"/>
        <w:ind w:left="357"/>
        <w:jc w:val="both"/>
        <w:rPr>
          <w:rFonts w:ascii="Times New Roman" w:hAnsi="Times New Roman" w:cs="Times New Roman"/>
          <w:color w:val="auto"/>
        </w:rPr>
      </w:pPr>
    </w:p>
    <w:p w:rsidR="007D2DA1" w:rsidRPr="00AA6616" w:rsidRDefault="007D2DA1" w:rsidP="007D2DA1">
      <w:pPr>
        <w:pStyle w:val="Odstavecseseznamem"/>
        <w:numPr>
          <w:ilvl w:val="0"/>
          <w:numId w:val="20"/>
        </w:numPr>
        <w:jc w:val="both"/>
      </w:pPr>
      <w:r w:rsidRPr="00AA6616">
        <w:t xml:space="preserve">V případě, že příjemce je povinen přiznat a zaplatit daň z přijatého plnění v režimu přenesení daňové povinnosti podle § 92a ZDPH, a to ke dni uskutečnění zdanitelného plnění, a současně neuplatňuje nárok na odpočet, je příjemce povinen v rámci závěrečného vyúčtování nebo do 10 dnů po uplynutí lhůty pro podání daňového přiznání </w:t>
      </w:r>
      <w:r w:rsidRPr="00AA6616">
        <w:br/>
        <w:t>k DPH předložit poskytovateli dodatečně daňové přiznání, daňovou doloženost, kontrolní hlášení a bankovní výpis. V případě, že příjemce dotace nepředloží tyto podklady, bude DPH neuznatelným výdajem čerpané dotace.</w:t>
      </w:r>
    </w:p>
    <w:p w:rsidR="007D2DA1" w:rsidRPr="00AA6616" w:rsidRDefault="007D2DA1" w:rsidP="007D2DA1">
      <w:pPr>
        <w:ind w:left="360"/>
        <w:jc w:val="both"/>
      </w:pPr>
    </w:p>
    <w:p w:rsidR="007D2DA1" w:rsidRPr="00AA6616" w:rsidRDefault="007D2DA1" w:rsidP="007D2DA1">
      <w:pPr>
        <w:numPr>
          <w:ilvl w:val="0"/>
          <w:numId w:val="20"/>
        </w:numPr>
        <w:jc w:val="both"/>
      </w:pPr>
      <w:r w:rsidRPr="00AA6616">
        <w:t xml:space="preserve">Dotaci nelze rovněž použít na úhradu ostatních daní. </w:t>
      </w:r>
    </w:p>
    <w:p w:rsidR="007D2DA1" w:rsidRPr="00AA6616" w:rsidRDefault="007D2DA1" w:rsidP="007D2DA1">
      <w:pPr>
        <w:pStyle w:val="Odstavecseseznamem"/>
        <w:ind w:left="360"/>
        <w:jc w:val="both"/>
      </w:pPr>
    </w:p>
    <w:p w:rsidR="007D2DA1" w:rsidRPr="00AA6616" w:rsidRDefault="007D2DA1" w:rsidP="007D2DA1">
      <w:pPr>
        <w:jc w:val="both"/>
      </w:pPr>
    </w:p>
    <w:p w:rsidR="007D2DA1" w:rsidRPr="00AA6616" w:rsidRDefault="007D2DA1" w:rsidP="007D2DA1">
      <w:pPr>
        <w:pStyle w:val="Zkladntext31"/>
        <w:jc w:val="center"/>
        <w:rPr>
          <w:b w:val="0"/>
          <w:bCs/>
          <w:sz w:val="24"/>
          <w:szCs w:val="24"/>
        </w:rPr>
      </w:pPr>
      <w:r w:rsidRPr="00AA6616">
        <w:rPr>
          <w:bCs/>
          <w:sz w:val="24"/>
          <w:szCs w:val="24"/>
        </w:rPr>
        <w:t>IV.</w:t>
      </w:r>
    </w:p>
    <w:p w:rsidR="007D2DA1" w:rsidRPr="00AA6616" w:rsidRDefault="007D2DA1" w:rsidP="007D2DA1">
      <w:pPr>
        <w:pStyle w:val="Zkladntext31"/>
        <w:jc w:val="center"/>
        <w:rPr>
          <w:b w:val="0"/>
          <w:bCs/>
          <w:sz w:val="24"/>
          <w:szCs w:val="24"/>
        </w:rPr>
      </w:pPr>
      <w:r w:rsidRPr="00AA6616">
        <w:rPr>
          <w:bCs/>
          <w:sz w:val="24"/>
          <w:szCs w:val="24"/>
        </w:rPr>
        <w:t>Poskytnutí dotace</w:t>
      </w:r>
    </w:p>
    <w:p w:rsidR="007D2DA1" w:rsidRPr="00AA6616" w:rsidRDefault="007D2DA1" w:rsidP="007D2DA1">
      <w:pPr>
        <w:jc w:val="both"/>
      </w:pPr>
    </w:p>
    <w:p w:rsidR="007D2DA1" w:rsidRPr="00AA6616" w:rsidRDefault="007D2DA1" w:rsidP="007D2DA1">
      <w:pPr>
        <w:numPr>
          <w:ilvl w:val="0"/>
          <w:numId w:val="13"/>
        </w:numPr>
        <w:jc w:val="both"/>
        <w:rPr>
          <w:i/>
        </w:rPr>
      </w:pPr>
      <w:r w:rsidRPr="00AA6616">
        <w:t>Dotace bude příjemci poskytnuta</w:t>
      </w:r>
    </w:p>
    <w:p w:rsidR="007D2DA1" w:rsidRPr="00AA6616" w:rsidRDefault="007D2DA1" w:rsidP="007D2DA1">
      <w:pPr>
        <w:numPr>
          <w:ilvl w:val="0"/>
          <w:numId w:val="12"/>
        </w:numPr>
        <w:jc w:val="both"/>
      </w:pPr>
      <w:r w:rsidRPr="00AA6616">
        <w:t>formou bezhotovostního převodu z účtu města Prostějova na bankovní účet příjemce uvedený ve smlouvě. Dnem poskytnutí dotace se rozumí den, kdy dotace bude poukázána z bankovního účtu města Prostějova.</w:t>
      </w:r>
    </w:p>
    <w:p w:rsidR="007D2DA1" w:rsidRPr="00AA6616" w:rsidRDefault="007D2DA1" w:rsidP="007D2DA1">
      <w:pPr>
        <w:jc w:val="both"/>
      </w:pPr>
    </w:p>
    <w:p w:rsidR="007D2DA1" w:rsidRPr="00AA6616" w:rsidRDefault="007D2DA1" w:rsidP="007D2DA1">
      <w:pPr>
        <w:numPr>
          <w:ilvl w:val="0"/>
          <w:numId w:val="13"/>
        </w:numPr>
        <w:jc w:val="both"/>
      </w:pPr>
      <w:r w:rsidRPr="00AA6616">
        <w:lastRenderedPageBreak/>
        <w:t>Dotace bude poskytnuta</w:t>
      </w:r>
      <w:r w:rsidRPr="00AA6616">
        <w:rPr>
          <w:i/>
          <w:color w:val="FF0000"/>
        </w:rPr>
        <w:t xml:space="preserve"> </w:t>
      </w:r>
      <w:r w:rsidRPr="00AA6616">
        <w:t>jednorázově nejpozději do 15 pracovních dnů ode dne zveřejnění této smlouvy v registru smluv,</w:t>
      </w:r>
    </w:p>
    <w:p w:rsidR="007D2DA1" w:rsidRPr="00AA6616" w:rsidRDefault="007D2DA1" w:rsidP="007D2DA1">
      <w:pPr>
        <w:ind w:left="360"/>
        <w:jc w:val="both"/>
      </w:pPr>
    </w:p>
    <w:p w:rsidR="007D2DA1" w:rsidRPr="00AA6616" w:rsidRDefault="007D2DA1" w:rsidP="007D2DA1">
      <w:pPr>
        <w:ind w:left="360"/>
        <w:jc w:val="both"/>
      </w:pPr>
    </w:p>
    <w:p w:rsidR="007D2DA1" w:rsidRPr="00AA6616" w:rsidRDefault="007D2DA1" w:rsidP="007D2DA1">
      <w:pPr>
        <w:pStyle w:val="Zkladntext31"/>
        <w:jc w:val="center"/>
        <w:rPr>
          <w:b w:val="0"/>
          <w:bCs/>
          <w:sz w:val="24"/>
          <w:szCs w:val="24"/>
        </w:rPr>
      </w:pPr>
      <w:r w:rsidRPr="00AA6616">
        <w:rPr>
          <w:bCs/>
          <w:sz w:val="24"/>
          <w:szCs w:val="24"/>
        </w:rPr>
        <w:t>V.</w:t>
      </w:r>
    </w:p>
    <w:p w:rsidR="007D2DA1" w:rsidRPr="00AA6616" w:rsidRDefault="007D2DA1" w:rsidP="007D2DA1">
      <w:pPr>
        <w:pStyle w:val="Zkladntext31"/>
        <w:jc w:val="center"/>
        <w:rPr>
          <w:b w:val="0"/>
          <w:bCs/>
          <w:sz w:val="24"/>
          <w:szCs w:val="24"/>
        </w:rPr>
      </w:pPr>
      <w:r w:rsidRPr="00AA6616">
        <w:rPr>
          <w:bCs/>
          <w:sz w:val="24"/>
          <w:szCs w:val="24"/>
        </w:rPr>
        <w:t>Práva a povinnosti poskytovatele</w:t>
      </w:r>
    </w:p>
    <w:p w:rsidR="007D2DA1" w:rsidRPr="00AA6616" w:rsidRDefault="007D2DA1" w:rsidP="007D2DA1">
      <w:pPr>
        <w:rPr>
          <w:b/>
        </w:rPr>
      </w:pPr>
    </w:p>
    <w:p w:rsidR="007D2DA1" w:rsidRPr="00AA6616" w:rsidRDefault="007D2DA1" w:rsidP="007D2DA1">
      <w:pPr>
        <w:numPr>
          <w:ilvl w:val="0"/>
          <w:numId w:val="17"/>
        </w:numPr>
        <w:jc w:val="both"/>
      </w:pPr>
      <w:r w:rsidRPr="00AA6616">
        <w:t>Poskytovatel se zavazuje, při splnění povinností příjemce uvedených v této smlouvě, poskytnout příjemci dotaci ve výši a způsobem sjednaným v této smlouvě.</w:t>
      </w:r>
    </w:p>
    <w:p w:rsidR="007D2DA1" w:rsidRPr="00AA6616" w:rsidRDefault="007D2DA1" w:rsidP="007D2DA1">
      <w:pPr>
        <w:jc w:val="both"/>
      </w:pPr>
    </w:p>
    <w:p w:rsidR="007D2DA1" w:rsidRPr="00AA6616" w:rsidRDefault="007D2DA1" w:rsidP="007D2DA1">
      <w:pPr>
        <w:numPr>
          <w:ilvl w:val="0"/>
          <w:numId w:val="17"/>
        </w:numPr>
        <w:jc w:val="both"/>
      </w:pPr>
      <w:r w:rsidRPr="00AA6616">
        <w:t xml:space="preserve">Poskytovatel je oprávněn požadovat na příjemci v termínech sjednaných v této smlouvě vyúčtování čerpání dotace. </w:t>
      </w:r>
    </w:p>
    <w:p w:rsidR="007D2DA1" w:rsidRPr="00AA6616" w:rsidRDefault="007D2DA1" w:rsidP="007D2DA1">
      <w:pPr>
        <w:jc w:val="both"/>
      </w:pPr>
    </w:p>
    <w:p w:rsidR="007D2DA1" w:rsidRPr="00AA6616" w:rsidRDefault="007D2DA1" w:rsidP="007D2DA1">
      <w:pPr>
        <w:numPr>
          <w:ilvl w:val="0"/>
          <w:numId w:val="17"/>
        </w:numPr>
        <w:jc w:val="both"/>
      </w:pPr>
      <w:r w:rsidRPr="00AA6616">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7D2DA1" w:rsidRPr="00AA6616" w:rsidRDefault="007D2DA1" w:rsidP="007D2DA1">
      <w:pPr>
        <w:ind w:left="360"/>
        <w:jc w:val="both"/>
      </w:pPr>
      <w:r w:rsidRPr="00AA6616">
        <w:t>Příjemce bere na vědomí, že při zjištění nesrovnalostí ve vyúčtovaných dokladech</w:t>
      </w:r>
      <w:r w:rsidRPr="00AA6616">
        <w:br/>
        <w:t xml:space="preserve">o dodávkách zboží nebo služeb hrazených z dotace, jsou pověření zaměstnanci oprávněni provést veřejnosprávní kontrolu u právnické nebo fyzické osoby podílející se na dodávkách zboží nebo služeb hrazených z dotace.  </w:t>
      </w:r>
    </w:p>
    <w:p w:rsidR="007D2DA1" w:rsidRPr="00AA6616" w:rsidRDefault="007D2DA1" w:rsidP="007D2DA1">
      <w:pPr>
        <w:ind w:left="360"/>
        <w:jc w:val="both"/>
      </w:pPr>
      <w:r w:rsidRPr="00AA6616">
        <w:t xml:space="preserve">Při výkonu finanční kontroly je kontrolovaná osoba povinna poskytnout součinnost </w:t>
      </w:r>
      <w:r w:rsidRPr="00AA6616">
        <w:br/>
        <w:t xml:space="preserve">v rozsahu a způsobem stanoveným zákonem č. 320/2001 Sb., o finanční kontrole ve veřejné správě a o změně některých zákonů (zákon o finanční kontrole), ve znění pozdějších předpisů a zákonem č. 255/2012 Sb., o kontrole (kontrolní řád). </w:t>
      </w:r>
    </w:p>
    <w:p w:rsidR="007D2DA1" w:rsidRPr="00AA6616" w:rsidRDefault="007D2DA1" w:rsidP="007D2DA1">
      <w:pPr>
        <w:jc w:val="both"/>
      </w:pPr>
    </w:p>
    <w:p w:rsidR="007D2DA1" w:rsidRPr="00AA6616" w:rsidRDefault="007D2DA1" w:rsidP="007D2DA1">
      <w:pPr>
        <w:numPr>
          <w:ilvl w:val="0"/>
          <w:numId w:val="17"/>
        </w:numPr>
        <w:jc w:val="both"/>
      </w:pPr>
      <w:r w:rsidRPr="00AA6616">
        <w:t>V případě nedodržení sjednaného účelu použití dotace, lhůt použití dotace, vyúčtování dotace a dalších smluvních podmínek je poskytovatel oprávněn uplatnit vůči příjemci sankce uvedené v čl. VII této smlouvy.</w:t>
      </w:r>
    </w:p>
    <w:p w:rsidR="007D2DA1" w:rsidRPr="00AA6616" w:rsidRDefault="007D2DA1" w:rsidP="007D2DA1">
      <w:pPr>
        <w:pStyle w:val="Zkladntext31"/>
        <w:rPr>
          <w:b w:val="0"/>
          <w:bCs/>
          <w:sz w:val="24"/>
          <w:szCs w:val="24"/>
        </w:rPr>
      </w:pPr>
    </w:p>
    <w:p w:rsidR="007D2DA1" w:rsidRPr="00AA6616" w:rsidRDefault="007D2DA1" w:rsidP="007D2DA1">
      <w:pPr>
        <w:pStyle w:val="Zkladntext31"/>
        <w:jc w:val="center"/>
        <w:rPr>
          <w:b w:val="0"/>
          <w:bCs/>
          <w:sz w:val="24"/>
          <w:szCs w:val="24"/>
        </w:rPr>
      </w:pPr>
      <w:r w:rsidRPr="00AA6616">
        <w:rPr>
          <w:bCs/>
          <w:sz w:val="24"/>
          <w:szCs w:val="24"/>
        </w:rPr>
        <w:t>VI.</w:t>
      </w:r>
    </w:p>
    <w:p w:rsidR="007D2DA1" w:rsidRPr="00AA6616" w:rsidRDefault="007D2DA1" w:rsidP="007D2DA1">
      <w:pPr>
        <w:pStyle w:val="Zkladntext31"/>
        <w:jc w:val="center"/>
        <w:rPr>
          <w:sz w:val="24"/>
          <w:szCs w:val="24"/>
        </w:rPr>
      </w:pPr>
      <w:r w:rsidRPr="00AA6616">
        <w:rPr>
          <w:bCs/>
          <w:sz w:val="24"/>
          <w:szCs w:val="24"/>
        </w:rPr>
        <w:t>Práva a povinnosti příjemce</w:t>
      </w:r>
    </w:p>
    <w:p w:rsidR="007D2DA1" w:rsidRPr="00AA6616" w:rsidRDefault="007D2DA1" w:rsidP="007D2DA1">
      <w:pPr>
        <w:numPr>
          <w:ilvl w:val="12"/>
          <w:numId w:val="0"/>
        </w:numPr>
        <w:jc w:val="both"/>
      </w:pPr>
    </w:p>
    <w:p w:rsidR="007D2DA1" w:rsidRPr="00AA6616" w:rsidRDefault="007D2DA1" w:rsidP="007D2DA1">
      <w:pPr>
        <w:numPr>
          <w:ilvl w:val="0"/>
          <w:numId w:val="19"/>
        </w:numPr>
        <w:jc w:val="both"/>
      </w:pPr>
      <w:r w:rsidRPr="00AA6616">
        <w:t xml:space="preserve">Příjemce se zavazuje použít dotaci pouze k účelu sjednanému touto smlouvou. </w:t>
      </w:r>
    </w:p>
    <w:p w:rsidR="007D2DA1" w:rsidRPr="00AA6616" w:rsidRDefault="007D2DA1" w:rsidP="007D2DA1">
      <w:pPr>
        <w:ind w:left="360"/>
        <w:jc w:val="both"/>
      </w:pPr>
    </w:p>
    <w:p w:rsidR="007D2DA1" w:rsidRPr="00C77A7D" w:rsidRDefault="007D2DA1" w:rsidP="007D2DA1">
      <w:pPr>
        <w:numPr>
          <w:ilvl w:val="0"/>
          <w:numId w:val="19"/>
        </w:numPr>
        <w:jc w:val="both"/>
      </w:pPr>
      <w:r w:rsidRPr="00AA6616">
        <w:t xml:space="preserve">Příjemce se zavazuje zveřejnit informaci o tom, že projekt (akce/činnost), na nějž byla dotace dle této </w:t>
      </w:r>
      <w:r w:rsidRPr="00C77A7D">
        <w:t>smlouvy poskytnuta, byl realizován za finanční spoluúčasti města Prostějova, a to tímto způsobem: uveřejněním na webových stránkách společnosti.</w:t>
      </w:r>
    </w:p>
    <w:p w:rsidR="007D2DA1" w:rsidRPr="00AA6616" w:rsidRDefault="007D2DA1" w:rsidP="007D2DA1">
      <w:pPr>
        <w:ind w:left="360"/>
        <w:jc w:val="both"/>
      </w:pPr>
      <w:r w:rsidRPr="00C77A7D">
        <w:t>Splnění tohoto závazku příjemce prokáže poskytovateli tímto způsobem: zasláním odkazu na příslušnou webovou adresu.</w:t>
      </w:r>
      <w:r>
        <w:t xml:space="preserve"> </w:t>
      </w:r>
      <w:r w:rsidRPr="00AA6616">
        <w:rPr>
          <w:i/>
        </w:rPr>
        <w:t xml:space="preserve"> </w:t>
      </w:r>
    </w:p>
    <w:p w:rsidR="007D2DA1" w:rsidRPr="00AA6616" w:rsidRDefault="007D2DA1" w:rsidP="007D2DA1">
      <w:pPr>
        <w:ind w:left="360"/>
        <w:jc w:val="both"/>
      </w:pPr>
      <w:r w:rsidRPr="00AA6616">
        <w:t>Poskytovatel uděluje příjemci souhlas s bezúplatným užitím znaku města Prostějova při realizaci projektu.</w:t>
      </w:r>
    </w:p>
    <w:p w:rsidR="007D2DA1" w:rsidRPr="00AA6616" w:rsidRDefault="007D2DA1" w:rsidP="007D2DA1">
      <w:pPr>
        <w:ind w:left="360"/>
        <w:jc w:val="both"/>
      </w:pPr>
    </w:p>
    <w:p w:rsidR="007D2DA1" w:rsidRPr="00AA6616" w:rsidRDefault="007D2DA1" w:rsidP="007D2DA1">
      <w:pPr>
        <w:numPr>
          <w:ilvl w:val="0"/>
          <w:numId w:val="19"/>
        </w:numPr>
        <w:jc w:val="both"/>
      </w:pPr>
      <w:r w:rsidRPr="00AA6616">
        <w:t>Příjemce není oprávněn převádět dotaci na třetí osoby, s výjimkou případů, kdy takovýto převod je přímou úhradou služeb nebo prací, na které byla dotace poskytnuta.</w:t>
      </w:r>
    </w:p>
    <w:p w:rsidR="007D2DA1" w:rsidRPr="00AA6616" w:rsidRDefault="007D2DA1" w:rsidP="007D2DA1">
      <w:pPr>
        <w:ind w:left="360"/>
        <w:jc w:val="both"/>
      </w:pPr>
    </w:p>
    <w:p w:rsidR="007D2DA1" w:rsidRPr="005E42D4" w:rsidRDefault="007D2DA1" w:rsidP="007D2DA1">
      <w:pPr>
        <w:numPr>
          <w:ilvl w:val="0"/>
          <w:numId w:val="19"/>
        </w:numPr>
        <w:shd w:val="clear" w:color="auto" w:fill="FFFFFF" w:themeFill="background1"/>
        <w:jc w:val="both"/>
      </w:pPr>
      <w:r w:rsidRPr="005E42D4">
        <w:t xml:space="preserve">Příjemce dotace je povinen hradit náklady nad 50.000 Kč uplatňované z dotace pouze </w:t>
      </w:r>
      <w:r w:rsidRPr="005E42D4">
        <w:br/>
        <w:t xml:space="preserve">bezhotovostním převodem ze svého bankovního účtu. </w:t>
      </w:r>
    </w:p>
    <w:p w:rsidR="007D2DA1" w:rsidRPr="00AA6616" w:rsidRDefault="007D2DA1" w:rsidP="007D2DA1">
      <w:pPr>
        <w:jc w:val="both"/>
      </w:pPr>
    </w:p>
    <w:p w:rsidR="007D2DA1" w:rsidRPr="00AA6616" w:rsidRDefault="007D2DA1" w:rsidP="007D2DA1">
      <w:pPr>
        <w:numPr>
          <w:ilvl w:val="0"/>
          <w:numId w:val="19"/>
        </w:numPr>
        <w:jc w:val="both"/>
      </w:pPr>
      <w:r w:rsidRPr="00AA6616">
        <w:t xml:space="preserve">Příjemce je povinen vést účetnictví v souladu se zákonem č. 563/1991 Sb., o účetnictví, ve znění pozdějších předpisů. O poskytnuté dotaci a o jejím užití vede příjemce oddělenou dokladovou a účetní evidenci. </w:t>
      </w:r>
    </w:p>
    <w:p w:rsidR="007D2DA1" w:rsidRPr="00AA6616" w:rsidRDefault="007D2DA1" w:rsidP="007D2DA1">
      <w:pPr>
        <w:pStyle w:val="Odstavecseseznamem"/>
      </w:pPr>
    </w:p>
    <w:p w:rsidR="007D2DA1" w:rsidRPr="00AA6616" w:rsidRDefault="007D2DA1" w:rsidP="007D2DA1">
      <w:pPr>
        <w:numPr>
          <w:ilvl w:val="0"/>
          <w:numId w:val="19"/>
        </w:numPr>
        <w:jc w:val="both"/>
      </w:pPr>
      <w:r w:rsidRPr="00AA6616">
        <w:t xml:space="preserve">Poskytnutou dotaci se zavazuje příjemce využít co nejhospodárněji </w:t>
      </w:r>
      <w:r w:rsidRPr="00AA6616">
        <w:br/>
        <w:t xml:space="preserve">a v případě, kdy naplňuje ustanovení zákona 134/2016 Sb., o zadávání veřejných zakázek, je povinen postupovat v souladu s tímto zákonem. </w:t>
      </w:r>
    </w:p>
    <w:p w:rsidR="007D2DA1" w:rsidRPr="00AA6616" w:rsidRDefault="007D2DA1" w:rsidP="007D2DA1">
      <w:pPr>
        <w:jc w:val="both"/>
      </w:pPr>
    </w:p>
    <w:p w:rsidR="007D2DA1" w:rsidRPr="00AA6616" w:rsidRDefault="007D2DA1" w:rsidP="007D2DA1">
      <w:pPr>
        <w:numPr>
          <w:ilvl w:val="0"/>
          <w:numId w:val="19"/>
        </w:numPr>
        <w:jc w:val="both"/>
      </w:pPr>
      <w:r w:rsidRPr="00AA6616">
        <w:t xml:space="preserve">Příjemce je povinen předložit nebo zaslat poskytovateli vyúčtování poskytnuté dotace prostřednictvím </w:t>
      </w:r>
      <w:r w:rsidRPr="00C77A7D">
        <w:t>odboru kancelář primátora</w:t>
      </w:r>
      <w:r w:rsidRPr="00AA6616">
        <w:t xml:space="preserve">, a to nejpozději do </w:t>
      </w:r>
      <w:r>
        <w:t xml:space="preserve">31. 12. 2022. </w:t>
      </w:r>
    </w:p>
    <w:p w:rsidR="007D2DA1" w:rsidRPr="00AA6616" w:rsidRDefault="007D2DA1" w:rsidP="007D2DA1">
      <w:pPr>
        <w:ind w:left="360"/>
        <w:jc w:val="both"/>
      </w:pPr>
      <w:r w:rsidRPr="00AA6616">
        <w:t xml:space="preserve">Vyúčtování příjemce provede na předepsaném formuláři Vyúčtování dotace ke Smlouvě </w:t>
      </w:r>
      <w:r w:rsidRPr="00AA6616">
        <w:br/>
        <w:t xml:space="preserve">o poskytnutí dotace. </w:t>
      </w:r>
    </w:p>
    <w:p w:rsidR="007D2DA1" w:rsidRPr="00AA6616" w:rsidRDefault="007D2DA1" w:rsidP="007D2DA1">
      <w:pPr>
        <w:ind w:left="360"/>
        <w:jc w:val="both"/>
      </w:pPr>
      <w:r w:rsidRPr="00AA6616">
        <w:t xml:space="preserve">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w:t>
      </w:r>
    </w:p>
    <w:p w:rsidR="007D2DA1" w:rsidRPr="00AA6616" w:rsidRDefault="007D2DA1" w:rsidP="007D2DA1">
      <w:pPr>
        <w:ind w:left="360"/>
        <w:jc w:val="both"/>
      </w:pPr>
      <w:r w:rsidRPr="00AA6616">
        <w:t>Společně s vyúčtováním příjemce předloží poskytovateli závěrečnou zprávu. Závěrečná zpráva musí být písemná a musí obsahovat stručné zhodnocení poskytovatelem podporovaného projektu včetně jeho přínosu pro město Prostějov.</w:t>
      </w:r>
    </w:p>
    <w:p w:rsidR="007D2DA1" w:rsidRPr="00AA6616" w:rsidRDefault="007D2DA1" w:rsidP="007D2DA1">
      <w:pPr>
        <w:ind w:left="360"/>
        <w:jc w:val="both"/>
      </w:pPr>
      <w:r w:rsidRPr="00AA6616">
        <w:t xml:space="preserve">Formulář pro vyúčtování dotace je zveřejněn na internetových stránkách města Prostějova </w:t>
      </w:r>
      <w:hyperlink r:id="rId8" w:history="1">
        <w:r w:rsidRPr="00AA6616">
          <w:rPr>
            <w:u w:val="single"/>
          </w:rPr>
          <w:t>www.prostejov.eu</w:t>
        </w:r>
      </w:hyperlink>
      <w:r w:rsidRPr="00AA6616">
        <w:t xml:space="preserve">, případně je v papírové podobě k dispozici na Informační službě Magistrátu města Prostějova. </w:t>
      </w:r>
    </w:p>
    <w:p w:rsidR="007D2DA1" w:rsidRPr="00AA6616" w:rsidRDefault="007D2DA1" w:rsidP="007D2DA1">
      <w:pPr>
        <w:ind w:left="360"/>
        <w:jc w:val="both"/>
      </w:pPr>
    </w:p>
    <w:p w:rsidR="007D2DA1" w:rsidRPr="00AA6616" w:rsidRDefault="007D2DA1" w:rsidP="007D2DA1">
      <w:pPr>
        <w:numPr>
          <w:ilvl w:val="0"/>
          <w:numId w:val="19"/>
        </w:numPr>
        <w:jc w:val="both"/>
      </w:pPr>
      <w:r w:rsidRPr="00AA6616">
        <w:t>Příjemce je povinen uchovávat veškeré dokumenty související s dotací a prokazující její užití po dobu 10 let ode dne ukončení financování účelu, uvedeného v článku III. odst. 1, způsobem, který je v souladu s platnou legislativou.</w:t>
      </w:r>
    </w:p>
    <w:p w:rsidR="007D2DA1" w:rsidRPr="00AA6616" w:rsidRDefault="007D2DA1" w:rsidP="007D2DA1">
      <w:pPr>
        <w:ind w:left="360"/>
        <w:jc w:val="both"/>
      </w:pPr>
      <w:r w:rsidRPr="00AA6616">
        <w:t xml:space="preserve"> </w:t>
      </w:r>
    </w:p>
    <w:p w:rsidR="007D2DA1" w:rsidRPr="00AA6616" w:rsidRDefault="007D2DA1" w:rsidP="007D2DA1">
      <w:pPr>
        <w:numPr>
          <w:ilvl w:val="0"/>
          <w:numId w:val="19"/>
        </w:numPr>
        <w:jc w:val="both"/>
      </w:pPr>
      <w:r w:rsidRPr="00AA6616">
        <w:t xml:space="preserve">Příjemce se zavazuje, že vyúčtování poskytnuté dotace dle této smlouvy nebude předmětem vyúčtování dotace poskytnuté jiným poskytovatelem. </w:t>
      </w:r>
    </w:p>
    <w:p w:rsidR="007D2DA1" w:rsidRPr="00AA6616" w:rsidRDefault="007D2DA1" w:rsidP="007D2DA1">
      <w:pPr>
        <w:jc w:val="both"/>
      </w:pPr>
    </w:p>
    <w:p w:rsidR="007D2DA1" w:rsidRPr="00AA6616" w:rsidRDefault="007D2DA1" w:rsidP="007D2DA1">
      <w:pPr>
        <w:numPr>
          <w:ilvl w:val="0"/>
          <w:numId w:val="19"/>
        </w:numPr>
        <w:jc w:val="both"/>
      </w:pPr>
      <w:r w:rsidRPr="00AA6616">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7D2DA1" w:rsidRPr="00AA6616" w:rsidRDefault="007D2DA1" w:rsidP="007D2DA1">
      <w:pPr>
        <w:jc w:val="both"/>
      </w:pPr>
    </w:p>
    <w:p w:rsidR="007D2DA1" w:rsidRPr="00AA6616" w:rsidRDefault="007D2DA1" w:rsidP="007D2DA1">
      <w:pPr>
        <w:numPr>
          <w:ilvl w:val="0"/>
          <w:numId w:val="19"/>
        </w:numPr>
        <w:jc w:val="both"/>
      </w:pPr>
      <w:r w:rsidRPr="00AA6616">
        <w:t xml:space="preserve">Pokud je dotace poskytnuta na jiný účel než na činnost příjemce a tento účel se neuskuteční, je příjemce povinen o této skutečnosti uvědomit neprodleně poskytovatele ve lhůtě </w:t>
      </w:r>
      <w:r w:rsidRPr="00AA6616">
        <w:br/>
        <w:t xml:space="preserve">do 7 kalendářních dnů od zjištění skutečnosti a současně je povinen do 30 kalendářních dnů po předání této informace vrátit poskytnutou dotaci na účet poskytovatele uvedený </w:t>
      </w:r>
      <w:r w:rsidRPr="00AA6616">
        <w:br/>
        <w:t>v čl. VII. odst. 6 této smlouvy.</w:t>
      </w:r>
    </w:p>
    <w:p w:rsidR="007D2DA1" w:rsidRPr="00AA6616" w:rsidRDefault="007D2DA1" w:rsidP="007D2DA1">
      <w:pPr>
        <w:jc w:val="both"/>
        <w:rPr>
          <w:i/>
        </w:rPr>
      </w:pPr>
    </w:p>
    <w:p w:rsidR="007D2DA1" w:rsidRPr="00AA6616" w:rsidRDefault="007D2DA1" w:rsidP="007D2DA1">
      <w:pPr>
        <w:jc w:val="center"/>
        <w:rPr>
          <w:b/>
          <w:bCs/>
        </w:rPr>
      </w:pPr>
      <w:r w:rsidRPr="00AA6616">
        <w:rPr>
          <w:b/>
          <w:bCs/>
        </w:rPr>
        <w:t>VII.</w:t>
      </w:r>
    </w:p>
    <w:p w:rsidR="007D2DA1" w:rsidRPr="00AA6616" w:rsidRDefault="007D2DA1" w:rsidP="007D2DA1">
      <w:pPr>
        <w:jc w:val="center"/>
        <w:rPr>
          <w:b/>
          <w:bCs/>
        </w:rPr>
      </w:pPr>
      <w:r w:rsidRPr="00AA6616">
        <w:rPr>
          <w:b/>
          <w:bCs/>
        </w:rPr>
        <w:t xml:space="preserve">Porušení rozpočtové kázně </w:t>
      </w:r>
    </w:p>
    <w:p w:rsidR="007D2DA1" w:rsidRPr="00AA6616" w:rsidRDefault="007D2DA1" w:rsidP="007D2DA1">
      <w:pPr>
        <w:jc w:val="center"/>
      </w:pPr>
    </w:p>
    <w:p w:rsidR="007D2DA1" w:rsidRPr="00AA6616" w:rsidRDefault="007D2DA1" w:rsidP="007D2DA1">
      <w:pPr>
        <w:pStyle w:val="Zkladntextodsazen2"/>
        <w:numPr>
          <w:ilvl w:val="0"/>
          <w:numId w:val="18"/>
        </w:numPr>
        <w:tabs>
          <w:tab w:val="clear" w:pos="645"/>
          <w:tab w:val="num" w:pos="426"/>
        </w:tabs>
        <w:spacing w:line="240" w:lineRule="auto"/>
        <w:ind w:left="426" w:hanging="426"/>
        <w:jc w:val="both"/>
      </w:pPr>
      <w:r w:rsidRPr="00AA6616">
        <w:t xml:space="preserve">Příjemce výslovně prohlašuje, že si je vědom skutečnosti, že každé neoprávněné použití nebo zadržení dotace a porušení povinností příjemce sjednaných touto smlouvou, přímo použitelným předpisem Evropské unie, právním předpisem České republiky je považováno za porušení rozpočtové kázně a bude sankciováno ve smyslu § 22 zákona </w:t>
      </w:r>
      <w:r w:rsidRPr="00AA6616">
        <w:br/>
        <w:t>č. 250/2000 Sb., o rozpočtových pravidlech územních rozpočtů, ve znění pozdějších předpisů.</w:t>
      </w:r>
    </w:p>
    <w:p w:rsidR="007D2DA1" w:rsidRDefault="007D2DA1" w:rsidP="007D2DA1">
      <w:pPr>
        <w:pStyle w:val="Zkladntextodsazen2"/>
        <w:numPr>
          <w:ilvl w:val="0"/>
          <w:numId w:val="23"/>
        </w:numPr>
        <w:tabs>
          <w:tab w:val="clear" w:pos="645"/>
          <w:tab w:val="num" w:pos="426"/>
        </w:tabs>
        <w:spacing w:after="0" w:line="240" w:lineRule="auto"/>
        <w:ind w:left="426" w:hanging="426"/>
        <w:jc w:val="both"/>
      </w:pPr>
      <w:r w:rsidRPr="00AA6616">
        <w:t>Pokud poskytovatel zjistí, že příjemce porušil závažná ustanovení této smlouvy nebo porušil méně závažná ustanovení této smlouvy, jejichž povaha neumožňuje stanovit příjemci opatření k nápravě dle odst. 5 tohoto článku smlouvy, písemně vyzve příjemce</w:t>
      </w:r>
      <w:r w:rsidRPr="00AA6616">
        <w:br/>
        <w:t xml:space="preserve">k vrácení dotace nebo její části ve stanovené lhůtě. V rozsahu, v jakém příjemce dotaci vrátí, </w:t>
      </w:r>
      <w:r w:rsidRPr="00AA6616">
        <w:lastRenderedPageBreak/>
        <w:t>platí, že k porušení rozpočtové kázně nedošlo.</w:t>
      </w:r>
      <w:r>
        <w:t xml:space="preserve"> </w:t>
      </w:r>
      <w:r w:rsidRPr="00AA6616">
        <w:t>Za závažné porušení povinnosti příjemce se považuje nedodržení ustanovení této smlouvy vyjma podmínek, uvedených dále v odst. 4. tohoto článku smlouvy.</w:t>
      </w:r>
    </w:p>
    <w:p w:rsidR="007D2DA1" w:rsidRPr="00AA6616" w:rsidRDefault="007D2DA1" w:rsidP="007D2DA1">
      <w:pPr>
        <w:pStyle w:val="Zkladntextodsazen2"/>
        <w:spacing w:after="0" w:line="240" w:lineRule="auto"/>
        <w:ind w:left="426"/>
        <w:jc w:val="both"/>
      </w:pPr>
    </w:p>
    <w:p w:rsidR="007D2DA1" w:rsidRDefault="007D2DA1" w:rsidP="007D2DA1">
      <w:pPr>
        <w:pStyle w:val="Zkladntextodsazen2"/>
        <w:numPr>
          <w:ilvl w:val="0"/>
          <w:numId w:val="23"/>
        </w:numPr>
        <w:tabs>
          <w:tab w:val="clear" w:pos="645"/>
          <w:tab w:val="num" w:pos="426"/>
        </w:tabs>
        <w:spacing w:after="0" w:line="240" w:lineRule="auto"/>
        <w:ind w:left="426" w:hanging="426"/>
        <w:jc w:val="both"/>
      </w:pPr>
      <w:r w:rsidRPr="00AA6616">
        <w:t xml:space="preserve">Pokud příjemce dotaci nebo její část na základě výzvy nevrátí, uloží mu poskytovatel odvod za porušení rozpočtové kázně ve výši stanovené platnými právními předpisy nebo stanovené touto smlouvou. </w:t>
      </w:r>
    </w:p>
    <w:p w:rsidR="007D2DA1" w:rsidRDefault="007D2DA1" w:rsidP="007D2DA1">
      <w:pPr>
        <w:pStyle w:val="Odstavecseseznamem"/>
      </w:pPr>
    </w:p>
    <w:p w:rsidR="007D2DA1" w:rsidRDefault="007D2DA1" w:rsidP="007D2DA1">
      <w:pPr>
        <w:pStyle w:val="Zkladntextodsazen2"/>
        <w:numPr>
          <w:ilvl w:val="0"/>
          <w:numId w:val="23"/>
        </w:numPr>
        <w:tabs>
          <w:tab w:val="clear" w:pos="645"/>
        </w:tabs>
        <w:spacing w:after="0" w:line="240" w:lineRule="auto"/>
        <w:ind w:left="426" w:hanging="426"/>
      </w:pPr>
      <w:r w:rsidRPr="00AA6616">
        <w:t>Za nedodržení méně závažné podmínky související s účelem, na něž byly peněžní prostředky poskytnuty, uloží poskytovatel příjemci nižší odvod, než činí celková částka dotace.</w:t>
      </w:r>
    </w:p>
    <w:p w:rsidR="007D2DA1" w:rsidRDefault="007D2DA1" w:rsidP="007D2DA1">
      <w:pPr>
        <w:pStyle w:val="Odstavecseseznamem"/>
      </w:pPr>
    </w:p>
    <w:p w:rsidR="007D2DA1" w:rsidRPr="00AA6616" w:rsidRDefault="007D2DA1" w:rsidP="007D2DA1">
      <w:pPr>
        <w:pStyle w:val="Zkladntextodsazen2"/>
        <w:spacing w:after="0" w:line="240" w:lineRule="auto"/>
        <w:ind w:left="426"/>
      </w:pPr>
      <w:r w:rsidRPr="00AA6616">
        <w:t xml:space="preserve">Podmínky, jejichž porušení je považováno za méně závažné, a výše odvodu jsou uvedeny </w:t>
      </w:r>
      <w:r>
        <w:t xml:space="preserve">v </w:t>
      </w:r>
      <w:r w:rsidRPr="00AA6616">
        <w:t>následujícím přehledu:</w:t>
      </w:r>
    </w:p>
    <w:tbl>
      <w:tblPr>
        <w:tblW w:w="903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2268"/>
      </w:tblGrid>
      <w:tr w:rsidR="007D2DA1" w:rsidRPr="00AA6616" w:rsidTr="007F11C1">
        <w:tc>
          <w:tcPr>
            <w:tcW w:w="6770" w:type="dxa"/>
            <w:shd w:val="clear" w:color="auto" w:fill="auto"/>
          </w:tcPr>
          <w:p w:rsidR="007D2DA1" w:rsidRPr="00AA6616" w:rsidRDefault="007D2DA1" w:rsidP="007F11C1">
            <w:pPr>
              <w:pStyle w:val="Zkladntextodsazen2"/>
              <w:ind w:left="0"/>
              <w:jc w:val="center"/>
              <w:rPr>
                <w:b/>
              </w:rPr>
            </w:pPr>
            <w:r w:rsidRPr="00AA6616">
              <w:rPr>
                <w:b/>
              </w:rPr>
              <w:t xml:space="preserve">Podmínky smlouvy, </w:t>
            </w:r>
          </w:p>
          <w:p w:rsidR="007D2DA1" w:rsidRPr="00AA6616" w:rsidRDefault="007D2DA1" w:rsidP="007F11C1">
            <w:pPr>
              <w:pStyle w:val="Zkladntextodsazen2"/>
              <w:ind w:left="0"/>
              <w:jc w:val="center"/>
              <w:rPr>
                <w:b/>
              </w:rPr>
            </w:pPr>
            <w:r w:rsidRPr="00AA6616">
              <w:rPr>
                <w:b/>
              </w:rPr>
              <w:t>jejichž porušení je považováno za méně závažné</w:t>
            </w:r>
          </w:p>
        </w:tc>
        <w:tc>
          <w:tcPr>
            <w:tcW w:w="2268" w:type="dxa"/>
            <w:shd w:val="clear" w:color="auto" w:fill="auto"/>
          </w:tcPr>
          <w:p w:rsidR="007D2DA1" w:rsidRPr="00AA6616" w:rsidRDefault="007D2DA1" w:rsidP="007F11C1">
            <w:pPr>
              <w:pStyle w:val="Zkladntextodsazen2"/>
              <w:ind w:left="0"/>
              <w:jc w:val="center"/>
              <w:rPr>
                <w:b/>
              </w:rPr>
            </w:pPr>
            <w:r w:rsidRPr="00AA6616">
              <w:rPr>
                <w:b/>
              </w:rPr>
              <w:t>Odvod za porušení podmínky</w:t>
            </w:r>
          </w:p>
        </w:tc>
      </w:tr>
      <w:tr w:rsidR="007D2DA1" w:rsidRPr="00AA6616" w:rsidTr="007F11C1">
        <w:trPr>
          <w:trHeight w:val="1259"/>
        </w:trPr>
        <w:tc>
          <w:tcPr>
            <w:tcW w:w="6770" w:type="dxa"/>
            <w:shd w:val="clear" w:color="auto" w:fill="auto"/>
            <w:vAlign w:val="center"/>
          </w:tcPr>
          <w:p w:rsidR="007D2DA1" w:rsidRPr="00AA6616" w:rsidRDefault="007D2DA1" w:rsidP="007F11C1">
            <w:pPr>
              <w:pStyle w:val="Zkladntextodsazen2"/>
              <w:ind w:left="0"/>
            </w:pPr>
            <w:r w:rsidRPr="00AA6616">
              <w:t>Chybně provedené vyúčtování dotace, kdy příjemce doloží nesprávné účetní doklady, kterými prokazuje splnění účelu, v případě, kdy pochybení zjistil věcně příslušný odbor při administrativní kontrole předloženého vyúčtování</w:t>
            </w:r>
          </w:p>
        </w:tc>
        <w:tc>
          <w:tcPr>
            <w:tcW w:w="2268" w:type="dxa"/>
            <w:shd w:val="clear" w:color="auto" w:fill="auto"/>
            <w:vAlign w:val="center"/>
          </w:tcPr>
          <w:p w:rsidR="007D2DA1" w:rsidRPr="00AA6616" w:rsidRDefault="007D2DA1" w:rsidP="007F11C1">
            <w:pPr>
              <w:pStyle w:val="Zkladntextodsazen2"/>
              <w:ind w:left="0"/>
              <w:jc w:val="center"/>
            </w:pPr>
            <w:r w:rsidRPr="00AA6616">
              <w:t xml:space="preserve">5 % </w:t>
            </w:r>
          </w:p>
          <w:p w:rsidR="007D2DA1" w:rsidRPr="00AA6616" w:rsidRDefault="007D2DA1" w:rsidP="007F11C1">
            <w:pPr>
              <w:pStyle w:val="Zkladntextodsazen2"/>
              <w:ind w:left="0"/>
              <w:jc w:val="center"/>
            </w:pPr>
            <w:r w:rsidRPr="00AA6616">
              <w:t>z celkové částky doložených</w:t>
            </w:r>
            <w:r w:rsidRPr="00AA6616">
              <w:rPr>
                <w:color w:val="FF0000"/>
              </w:rPr>
              <w:t xml:space="preserve"> </w:t>
            </w:r>
            <w:r w:rsidRPr="00AA6616">
              <w:t>nesprávných účetních dokladů</w:t>
            </w:r>
          </w:p>
        </w:tc>
      </w:tr>
      <w:tr w:rsidR="007D2DA1" w:rsidRPr="00AA6616" w:rsidTr="007F11C1">
        <w:tc>
          <w:tcPr>
            <w:tcW w:w="6770" w:type="dxa"/>
            <w:shd w:val="clear" w:color="auto" w:fill="auto"/>
            <w:vAlign w:val="center"/>
          </w:tcPr>
          <w:p w:rsidR="007D2DA1" w:rsidRPr="00AA6616" w:rsidRDefault="007D2DA1" w:rsidP="007F11C1">
            <w:pPr>
              <w:pStyle w:val="Zkladntextodsazen2"/>
              <w:ind w:left="0"/>
            </w:pPr>
            <w:r w:rsidRPr="00AA6616">
              <w:t>Nedodržení povinnosti vést oddělenou dokladovou a účetní evidenci o poskytnuté dotaci a o jejím užití</w:t>
            </w:r>
          </w:p>
        </w:tc>
        <w:tc>
          <w:tcPr>
            <w:tcW w:w="2268" w:type="dxa"/>
            <w:shd w:val="clear" w:color="auto" w:fill="auto"/>
            <w:vAlign w:val="center"/>
          </w:tcPr>
          <w:p w:rsidR="007D2DA1" w:rsidRPr="00AA6616" w:rsidRDefault="007D2DA1" w:rsidP="007F11C1">
            <w:pPr>
              <w:pStyle w:val="Zkladntextodsazen2"/>
              <w:ind w:left="0"/>
              <w:jc w:val="center"/>
            </w:pPr>
            <w:r w:rsidRPr="00AA6616">
              <w:t xml:space="preserve">15 % z celkové </w:t>
            </w:r>
          </w:p>
          <w:p w:rsidR="007D2DA1" w:rsidRPr="00AA6616" w:rsidRDefault="007D2DA1" w:rsidP="007F11C1">
            <w:pPr>
              <w:pStyle w:val="Zkladntextodsazen2"/>
              <w:ind w:left="0"/>
              <w:jc w:val="center"/>
            </w:pPr>
            <w:r w:rsidRPr="00AA6616">
              <w:t>částky dotace</w:t>
            </w:r>
          </w:p>
        </w:tc>
      </w:tr>
      <w:tr w:rsidR="007D2DA1" w:rsidRPr="00AA6616" w:rsidTr="007F11C1">
        <w:tc>
          <w:tcPr>
            <w:tcW w:w="6770" w:type="dxa"/>
            <w:shd w:val="clear" w:color="auto" w:fill="auto"/>
            <w:vAlign w:val="center"/>
          </w:tcPr>
          <w:p w:rsidR="007D2DA1" w:rsidRPr="00AA6616" w:rsidRDefault="007D2DA1" w:rsidP="007F11C1">
            <w:pPr>
              <w:pStyle w:val="Zkladntextodsazen2"/>
              <w:ind w:left="0"/>
            </w:pPr>
            <w:r w:rsidRPr="00AA6616">
              <w:t>Předložení vyúčtování o využití dotace a závěrečné zprávy s prodlením do 15 kalendářních dnů od data uvedeného ve smlouvě</w:t>
            </w:r>
          </w:p>
        </w:tc>
        <w:tc>
          <w:tcPr>
            <w:tcW w:w="2268" w:type="dxa"/>
            <w:shd w:val="clear" w:color="auto" w:fill="auto"/>
            <w:vAlign w:val="center"/>
          </w:tcPr>
          <w:p w:rsidR="007D2DA1" w:rsidRPr="00AA6616" w:rsidRDefault="007D2DA1" w:rsidP="007F11C1">
            <w:pPr>
              <w:pStyle w:val="Zkladntextodsazen2"/>
              <w:ind w:left="0"/>
              <w:jc w:val="center"/>
            </w:pPr>
            <w:r w:rsidRPr="00AA6616">
              <w:t xml:space="preserve">5 % z celkové </w:t>
            </w:r>
          </w:p>
          <w:p w:rsidR="007D2DA1" w:rsidRPr="00AA6616" w:rsidRDefault="007D2DA1" w:rsidP="007F11C1">
            <w:pPr>
              <w:pStyle w:val="Zkladntextodsazen2"/>
              <w:ind w:left="0"/>
              <w:jc w:val="center"/>
            </w:pPr>
            <w:r w:rsidRPr="00AA6616">
              <w:t>částky dotace</w:t>
            </w:r>
          </w:p>
        </w:tc>
      </w:tr>
      <w:tr w:rsidR="007D2DA1" w:rsidRPr="00AA6616" w:rsidTr="007F11C1">
        <w:tc>
          <w:tcPr>
            <w:tcW w:w="6770" w:type="dxa"/>
            <w:shd w:val="clear" w:color="auto" w:fill="auto"/>
            <w:vAlign w:val="center"/>
          </w:tcPr>
          <w:p w:rsidR="007D2DA1" w:rsidRPr="00AA6616" w:rsidRDefault="007D2DA1" w:rsidP="007F11C1">
            <w:pPr>
              <w:pStyle w:val="Zkladntextodsazen2"/>
              <w:ind w:left="0"/>
            </w:pPr>
            <w:r w:rsidRPr="00AA6616">
              <w:t>Předložení doplněného vyúčtování a závěrečné zprávy o využití dotace s prodlením do 15 kalendářních dnů od marného uplynutí náhradní lhůty, uvedené ve výzvě k doplnění vyúčtování</w:t>
            </w:r>
          </w:p>
        </w:tc>
        <w:tc>
          <w:tcPr>
            <w:tcW w:w="2268" w:type="dxa"/>
            <w:shd w:val="clear" w:color="auto" w:fill="auto"/>
            <w:vAlign w:val="center"/>
          </w:tcPr>
          <w:p w:rsidR="007D2DA1" w:rsidRPr="00AA6616" w:rsidRDefault="007D2DA1" w:rsidP="007F11C1">
            <w:pPr>
              <w:pStyle w:val="Zkladntextodsazen2"/>
              <w:ind w:left="0"/>
              <w:jc w:val="center"/>
            </w:pPr>
            <w:r w:rsidRPr="00AA6616">
              <w:t xml:space="preserve">5 % z celkové </w:t>
            </w:r>
          </w:p>
          <w:p w:rsidR="007D2DA1" w:rsidRPr="00AA6616" w:rsidRDefault="007D2DA1" w:rsidP="007F11C1">
            <w:pPr>
              <w:pStyle w:val="Zkladntextodsazen2"/>
              <w:ind w:left="0"/>
              <w:jc w:val="center"/>
            </w:pPr>
            <w:r w:rsidRPr="00AA6616">
              <w:t>částky dotace</w:t>
            </w:r>
          </w:p>
        </w:tc>
      </w:tr>
      <w:tr w:rsidR="007D2DA1" w:rsidRPr="00AA6616" w:rsidTr="007F11C1">
        <w:tc>
          <w:tcPr>
            <w:tcW w:w="6770" w:type="dxa"/>
            <w:shd w:val="clear" w:color="auto" w:fill="auto"/>
            <w:vAlign w:val="center"/>
          </w:tcPr>
          <w:p w:rsidR="007D2DA1" w:rsidRPr="00AA6616" w:rsidRDefault="007D2DA1" w:rsidP="007F11C1">
            <w:pPr>
              <w:pStyle w:val="Zkladntextodsazen2"/>
              <w:ind w:left="0"/>
            </w:pPr>
            <w:r w:rsidRPr="00AA6616">
              <w:t>Nedodržení podmínek povinné propagace uvedených ve smlouvě</w:t>
            </w:r>
          </w:p>
        </w:tc>
        <w:tc>
          <w:tcPr>
            <w:tcW w:w="2268" w:type="dxa"/>
            <w:shd w:val="clear" w:color="auto" w:fill="auto"/>
            <w:vAlign w:val="center"/>
          </w:tcPr>
          <w:p w:rsidR="007D2DA1" w:rsidRPr="00AA6616" w:rsidRDefault="007D2DA1" w:rsidP="007F11C1">
            <w:pPr>
              <w:pStyle w:val="Zkladntextodsazen2"/>
              <w:ind w:left="0"/>
              <w:jc w:val="center"/>
            </w:pPr>
            <w:r w:rsidRPr="00AA6616">
              <w:t xml:space="preserve">5 % z celkové </w:t>
            </w:r>
          </w:p>
          <w:p w:rsidR="007D2DA1" w:rsidRPr="00AA6616" w:rsidRDefault="007D2DA1" w:rsidP="007F11C1">
            <w:pPr>
              <w:pStyle w:val="Zkladntextodsazen2"/>
              <w:ind w:left="0"/>
              <w:jc w:val="center"/>
            </w:pPr>
            <w:r w:rsidRPr="00AA6616">
              <w:t>částky dotace</w:t>
            </w:r>
          </w:p>
        </w:tc>
      </w:tr>
      <w:tr w:rsidR="007D2DA1" w:rsidRPr="00AA6616" w:rsidTr="007F11C1">
        <w:tc>
          <w:tcPr>
            <w:tcW w:w="6770" w:type="dxa"/>
            <w:shd w:val="clear" w:color="auto" w:fill="auto"/>
            <w:vAlign w:val="center"/>
          </w:tcPr>
          <w:p w:rsidR="007D2DA1" w:rsidRPr="00AA6616" w:rsidRDefault="007D2DA1" w:rsidP="007F11C1">
            <w:pPr>
              <w:pStyle w:val="Zkladntextodsazen2"/>
              <w:ind w:left="0"/>
            </w:pPr>
            <w:r w:rsidRPr="00AA6616">
              <w:lastRenderedPageBreak/>
              <w:t>Porušení povinnosti informovat poskytovatele o změnách adresy sídla, bankovního spojení, statutárního zástupce a o jiných změnách, které mohou podstatně ovlivnit způsob finančního hospodaření příjemce a náplň jeho aktivit ve vztahu k dotaci</w:t>
            </w:r>
          </w:p>
        </w:tc>
        <w:tc>
          <w:tcPr>
            <w:tcW w:w="2268" w:type="dxa"/>
            <w:shd w:val="clear" w:color="auto" w:fill="auto"/>
            <w:vAlign w:val="center"/>
          </w:tcPr>
          <w:p w:rsidR="007D2DA1" w:rsidRPr="00AA6616" w:rsidRDefault="007D2DA1" w:rsidP="007F11C1">
            <w:pPr>
              <w:pStyle w:val="Zkladntextodsazen2"/>
              <w:ind w:left="0"/>
              <w:jc w:val="center"/>
            </w:pPr>
            <w:r w:rsidRPr="00AA6616">
              <w:t xml:space="preserve">5 % z celkové </w:t>
            </w:r>
          </w:p>
          <w:p w:rsidR="007D2DA1" w:rsidRPr="00AA6616" w:rsidRDefault="007D2DA1" w:rsidP="007F11C1">
            <w:pPr>
              <w:pStyle w:val="Zkladntextodsazen2"/>
              <w:ind w:left="0"/>
              <w:jc w:val="center"/>
            </w:pPr>
            <w:r w:rsidRPr="00AA6616">
              <w:t>částky dotace</w:t>
            </w:r>
          </w:p>
        </w:tc>
      </w:tr>
    </w:tbl>
    <w:p w:rsidR="007D2DA1" w:rsidRPr="00AA6616" w:rsidRDefault="007D2DA1" w:rsidP="007D2DA1">
      <w:pPr>
        <w:pStyle w:val="Zkladntextodsazen2"/>
        <w:ind w:left="0"/>
        <w:rPr>
          <w:sz w:val="12"/>
          <w:szCs w:val="12"/>
        </w:rPr>
      </w:pPr>
    </w:p>
    <w:p w:rsidR="007D2DA1" w:rsidRPr="00AA6616" w:rsidRDefault="007D2DA1" w:rsidP="007D2DA1">
      <w:pPr>
        <w:ind w:left="426"/>
        <w:jc w:val="both"/>
      </w:pPr>
      <w:r w:rsidRPr="00AA6616">
        <w:t>Při porušení více smluvních podmínek se odvody za jednotlivá porušení sčítají. Odvod lze uložit maximálně do výše peněžních prostředků poskytnutých ke dni porušení rozpočtové kázně.</w:t>
      </w:r>
    </w:p>
    <w:p w:rsidR="007D2DA1" w:rsidRPr="00AA6616" w:rsidRDefault="007D2DA1" w:rsidP="007D2DA1">
      <w:pPr>
        <w:ind w:left="426"/>
        <w:jc w:val="both"/>
      </w:pPr>
    </w:p>
    <w:p w:rsidR="007D2DA1" w:rsidRPr="00AA6616" w:rsidRDefault="007D2DA1" w:rsidP="007D2DA1">
      <w:pPr>
        <w:numPr>
          <w:ilvl w:val="0"/>
          <w:numId w:val="23"/>
        </w:numPr>
        <w:tabs>
          <w:tab w:val="clear" w:pos="645"/>
          <w:tab w:val="num" w:pos="426"/>
        </w:tabs>
        <w:ind w:left="426" w:hanging="426"/>
        <w:jc w:val="both"/>
      </w:pPr>
      <w:r w:rsidRPr="00AA6616">
        <w:t xml:space="preserve">Pokud poskytovatel zjistí, že příjemce nedodržel méně závažné podmínky této smlouvy </w:t>
      </w:r>
      <w:r w:rsidRPr="00AA6616">
        <w:br/>
        <w:t>a jejichž povaha umožňuje nápravu v náhradní lhůtě, bezodkladně písemně vyzve příjemce k provedení opatření k nápravě, a to ve lhůtě do 30 kalendářních dní. Lhůta počíná běžet dnem následujícím po doručení výzvy k provedení opatření k nápravě.</w:t>
      </w:r>
    </w:p>
    <w:p w:rsidR="007D2DA1" w:rsidRPr="00AA6616" w:rsidRDefault="007D2DA1" w:rsidP="007D2DA1">
      <w:pPr>
        <w:tabs>
          <w:tab w:val="num" w:pos="426"/>
        </w:tabs>
        <w:ind w:left="426"/>
        <w:jc w:val="both"/>
      </w:pPr>
      <w:r w:rsidRPr="00AA6616">
        <w:t>V případě, že příjemce ve stanovené lhůtě méně závažná porušení odstraní, bude na ně v rozsahu, v jakém úspěšně provedl opatření k nápravě, pohlíženo jakoby k porušení rozpočtové kázně nedošlo.</w:t>
      </w:r>
    </w:p>
    <w:p w:rsidR="007D2DA1" w:rsidRPr="00AA6616" w:rsidRDefault="007D2DA1" w:rsidP="007D2DA1">
      <w:pPr>
        <w:tabs>
          <w:tab w:val="num" w:pos="426"/>
        </w:tabs>
        <w:ind w:left="426"/>
        <w:jc w:val="both"/>
      </w:pPr>
      <w:r w:rsidRPr="00AA6616">
        <w:t>V případě, že příjemce ve stanovené lhůtě opatření k nápravě neprovede, bude uložen odvod za porušení rozpočtové kázně.</w:t>
      </w:r>
    </w:p>
    <w:p w:rsidR="007D2DA1" w:rsidRPr="00AA6616" w:rsidRDefault="007D2DA1" w:rsidP="007D2DA1">
      <w:pPr>
        <w:ind w:left="426"/>
        <w:jc w:val="both"/>
      </w:pPr>
    </w:p>
    <w:p w:rsidR="007D2DA1" w:rsidRDefault="007D2DA1" w:rsidP="007D2DA1">
      <w:pPr>
        <w:pStyle w:val="Zkladntextodsazen2"/>
        <w:numPr>
          <w:ilvl w:val="0"/>
          <w:numId w:val="23"/>
        </w:numPr>
        <w:tabs>
          <w:tab w:val="clear" w:pos="645"/>
          <w:tab w:val="num" w:pos="426"/>
        </w:tabs>
        <w:spacing w:after="0" w:line="240" w:lineRule="auto"/>
        <w:ind w:left="426" w:hanging="426"/>
        <w:jc w:val="both"/>
      </w:pPr>
      <w:r w:rsidRPr="00AA6616">
        <w:t xml:space="preserve">V případě, že je příjemce povinen vrátit dotaci nebo její část nebo uhradit odvod nebo penále, vrátí příjemce </w:t>
      </w:r>
      <w:r w:rsidRPr="004A7A9C">
        <w:t xml:space="preserve">dotaci nebo její část, resp. uhradí odvod nebo penále na účet poskytovatele č 27-1505517309/0800.  </w:t>
      </w:r>
    </w:p>
    <w:p w:rsidR="007D2DA1" w:rsidRPr="004A7A9C" w:rsidRDefault="007D2DA1" w:rsidP="007D2DA1">
      <w:pPr>
        <w:pStyle w:val="Zkladntextodsazen2"/>
        <w:spacing w:after="0" w:line="240" w:lineRule="auto"/>
        <w:ind w:left="426"/>
        <w:jc w:val="both"/>
      </w:pPr>
    </w:p>
    <w:p w:rsidR="007D2DA1" w:rsidRPr="00AA6616" w:rsidRDefault="007D2DA1" w:rsidP="007D2DA1">
      <w:pPr>
        <w:pStyle w:val="Zkladntextodsazen2"/>
        <w:numPr>
          <w:ilvl w:val="0"/>
          <w:numId w:val="23"/>
        </w:numPr>
        <w:tabs>
          <w:tab w:val="clear" w:pos="645"/>
          <w:tab w:val="num" w:pos="426"/>
        </w:tabs>
        <w:spacing w:after="0" w:line="240" w:lineRule="auto"/>
        <w:ind w:left="426" w:hanging="426"/>
        <w:jc w:val="both"/>
      </w:pPr>
      <w:r w:rsidRPr="00AA6616">
        <w:t>V případě dílčího poskytování dotace má poskytovatel v souladu s § 22 odst. 5 zákona</w:t>
      </w:r>
      <w:r w:rsidRPr="00AA6616">
        <w:br/>
        <w:t>č. 250/2000 Sb., o rozpočtových pravidlech územních rozpočtů, ve znění pozdějších předpisů, při podezření na porušení rozpočtové kázně právo snížit další část vyplácené dotace o částku předpokládaného odvodu za porušení rozpočtové kázně.</w:t>
      </w:r>
    </w:p>
    <w:p w:rsidR="007D2DA1" w:rsidRPr="00AA6616" w:rsidRDefault="007D2DA1" w:rsidP="007D2DA1">
      <w:pPr>
        <w:pStyle w:val="Odstavecseseznamem"/>
      </w:pPr>
    </w:p>
    <w:p w:rsidR="007D2DA1" w:rsidRPr="00AA6616" w:rsidRDefault="007D2DA1" w:rsidP="007D2DA1">
      <w:pPr>
        <w:pStyle w:val="Zkladntextodsazen2"/>
        <w:numPr>
          <w:ilvl w:val="0"/>
          <w:numId w:val="23"/>
        </w:numPr>
        <w:tabs>
          <w:tab w:val="clear" w:pos="645"/>
          <w:tab w:val="num" w:pos="426"/>
        </w:tabs>
        <w:spacing w:after="0" w:line="240" w:lineRule="auto"/>
        <w:ind w:left="426" w:hanging="426"/>
        <w:jc w:val="both"/>
      </w:pPr>
      <w:r w:rsidRPr="00AA6616">
        <w:t>Za prodlení s odvodem za porušení rozpočtové kázně je příjemce povinen zaplatit penále ve výši 1 promile z částky odvodu za každý den prodlení, nejvýše však do výše tohoto odvodu.</w:t>
      </w:r>
    </w:p>
    <w:p w:rsidR="007D2DA1" w:rsidRPr="00AA6616" w:rsidRDefault="007D2DA1" w:rsidP="007D2DA1">
      <w:pPr>
        <w:numPr>
          <w:ilvl w:val="12"/>
          <w:numId w:val="0"/>
        </w:numPr>
        <w:jc w:val="both"/>
      </w:pPr>
    </w:p>
    <w:p w:rsidR="007D2DA1" w:rsidRPr="00AA6616" w:rsidRDefault="007D2DA1" w:rsidP="007D2DA1">
      <w:pPr>
        <w:numPr>
          <w:ilvl w:val="12"/>
          <w:numId w:val="0"/>
        </w:numPr>
        <w:jc w:val="both"/>
      </w:pPr>
    </w:p>
    <w:p w:rsidR="007D2DA1" w:rsidRPr="00AA6616" w:rsidRDefault="007D2DA1" w:rsidP="007D2DA1">
      <w:pPr>
        <w:numPr>
          <w:ilvl w:val="12"/>
          <w:numId w:val="0"/>
        </w:numPr>
        <w:jc w:val="center"/>
        <w:rPr>
          <w:b/>
        </w:rPr>
      </w:pPr>
      <w:r w:rsidRPr="00AA6616">
        <w:rPr>
          <w:b/>
        </w:rPr>
        <w:t>VIII.</w:t>
      </w:r>
    </w:p>
    <w:p w:rsidR="007D2DA1" w:rsidRPr="00AA6616" w:rsidRDefault="007D2DA1" w:rsidP="007D2DA1">
      <w:pPr>
        <w:numPr>
          <w:ilvl w:val="12"/>
          <w:numId w:val="0"/>
        </w:numPr>
        <w:jc w:val="center"/>
        <w:rPr>
          <w:b/>
        </w:rPr>
      </w:pPr>
      <w:r w:rsidRPr="00AA6616">
        <w:rPr>
          <w:b/>
        </w:rPr>
        <w:t xml:space="preserve">Ukončení smlouvy </w:t>
      </w:r>
    </w:p>
    <w:p w:rsidR="007D2DA1" w:rsidRPr="00AA6616" w:rsidRDefault="007D2DA1" w:rsidP="007D2DA1">
      <w:pPr>
        <w:numPr>
          <w:ilvl w:val="12"/>
          <w:numId w:val="0"/>
        </w:numPr>
        <w:jc w:val="center"/>
        <w:rPr>
          <w:b/>
        </w:rPr>
      </w:pPr>
    </w:p>
    <w:p w:rsidR="007D2DA1" w:rsidRPr="00AA6616" w:rsidRDefault="007D2DA1" w:rsidP="007D2DA1">
      <w:pPr>
        <w:pStyle w:val="Zkladntextodsazen2"/>
        <w:numPr>
          <w:ilvl w:val="0"/>
          <w:numId w:val="26"/>
        </w:numPr>
        <w:tabs>
          <w:tab w:val="clear" w:pos="645"/>
        </w:tabs>
        <w:spacing w:after="0" w:line="240" w:lineRule="auto"/>
        <w:ind w:left="357" w:hanging="357"/>
        <w:jc w:val="both"/>
      </w:pPr>
      <w:r w:rsidRPr="00AA6616">
        <w:t xml:space="preserve">Tuto smlouvu lze ukončit písemnou dohodou smluvních stran. Při ukončení smlouvy dohodou je příjemce dotace povinen bezodkladně, nejpozději do 10 dnů od uzavření dohody, vrátit poskytnuté peněžní prostředky bezhotovostním převodem na účet poskytovatele dotace uvedený v této smlouvě, nedohodnou-li se smluvní strany jinak. Dohoda o ukončení smlouvy nabývá účinnosti připsáním vrácených peněženích prostředků na účet poskytovatele. </w:t>
      </w:r>
    </w:p>
    <w:p w:rsidR="007D2DA1" w:rsidRPr="00AA6616" w:rsidRDefault="007D2DA1" w:rsidP="007D2DA1">
      <w:pPr>
        <w:ind w:left="705"/>
        <w:jc w:val="both"/>
      </w:pPr>
    </w:p>
    <w:p w:rsidR="007D2DA1" w:rsidRPr="00AA6616" w:rsidRDefault="007D2DA1" w:rsidP="007D2DA1">
      <w:pPr>
        <w:pStyle w:val="Zkladntextodsazen2"/>
        <w:numPr>
          <w:ilvl w:val="0"/>
          <w:numId w:val="26"/>
        </w:numPr>
        <w:tabs>
          <w:tab w:val="clear" w:pos="645"/>
        </w:tabs>
        <w:spacing w:after="0" w:line="240" w:lineRule="auto"/>
        <w:ind w:left="357" w:hanging="357"/>
        <w:jc w:val="both"/>
        <w:rPr>
          <w:b/>
        </w:rPr>
      </w:pPr>
      <w:r w:rsidRPr="00AA6616">
        <w:rPr>
          <w:rFonts w:eastAsia="Calibri"/>
        </w:rPr>
        <w:t xml:space="preserve">Poskytovatel je oprávněn tuto smlouvu vypovědět, pokud: </w:t>
      </w:r>
    </w:p>
    <w:p w:rsidR="007D2DA1" w:rsidRPr="00AA6616" w:rsidRDefault="007D2DA1" w:rsidP="007D2DA1">
      <w:pPr>
        <w:pStyle w:val="Odstavecseseznamem"/>
        <w:numPr>
          <w:ilvl w:val="0"/>
          <w:numId w:val="25"/>
        </w:numPr>
        <w:ind w:left="714" w:hanging="357"/>
        <w:jc w:val="both"/>
      </w:pPr>
      <w:r w:rsidRPr="00AA6616">
        <w:t xml:space="preserve">bude při veřejnosprávní kontrole poskytovatelem zjištěno </w:t>
      </w:r>
      <w:r w:rsidRPr="00AA6616">
        <w:rPr>
          <w:rFonts w:eastAsia="Calibri"/>
        </w:rPr>
        <w:t>porušení povinností příjemce vyplývající z právních předpisů nebo ustanovení této smlouvy, zejména porušení rozpočtové kázně,</w:t>
      </w:r>
    </w:p>
    <w:p w:rsidR="007D2DA1" w:rsidRPr="00AA6616" w:rsidRDefault="007D2DA1" w:rsidP="007D2DA1">
      <w:pPr>
        <w:pStyle w:val="Odstavecseseznamem"/>
        <w:numPr>
          <w:ilvl w:val="0"/>
          <w:numId w:val="25"/>
        </w:numPr>
        <w:jc w:val="both"/>
      </w:pPr>
      <w:r w:rsidRPr="00AA6616">
        <w:t>vyjde po uzavření smlouvy najevo, že příjemce uvedl v žádosti o poskytnutí dotace nebo v prohlášení žadatele o poskytnutí dotace neúplné nebo zjevně nepravdivé informace,</w:t>
      </w:r>
    </w:p>
    <w:p w:rsidR="007D2DA1" w:rsidRPr="00AA6616" w:rsidRDefault="007D2DA1" w:rsidP="007D2DA1">
      <w:pPr>
        <w:pStyle w:val="Odstavecseseznamem"/>
        <w:numPr>
          <w:ilvl w:val="0"/>
          <w:numId w:val="25"/>
        </w:numPr>
        <w:jc w:val="both"/>
      </w:pPr>
      <w:r w:rsidRPr="00AA6616">
        <w:lastRenderedPageBreak/>
        <w:t xml:space="preserve">bude v době od uzavření této smlouvy do data, v němž je příjemce povinen použít poskytnutou dotaci, na majetek  příjemce zahájeno insolvenční řízení, bude proti příjemci zahájeno exekuční řízení nebo dojde ke zrušení příjemce s likvidací, </w:t>
      </w:r>
    </w:p>
    <w:p w:rsidR="007D2DA1" w:rsidRPr="00AA6616" w:rsidRDefault="007D2DA1" w:rsidP="007D2DA1">
      <w:pPr>
        <w:pStyle w:val="Odstavecseseznamem"/>
        <w:numPr>
          <w:ilvl w:val="0"/>
          <w:numId w:val="25"/>
        </w:numPr>
        <w:jc w:val="both"/>
      </w:pPr>
      <w:r w:rsidRPr="00AA6616">
        <w:t>příjemce neumožní poskytovateli provést veřejnosprávní kontrolu nebo neposkytne potřebnou součinnost,</w:t>
      </w:r>
    </w:p>
    <w:p w:rsidR="007D2DA1" w:rsidRPr="00AA6616" w:rsidRDefault="007D2DA1" w:rsidP="007D2DA1">
      <w:pPr>
        <w:pStyle w:val="Odstavecseseznamem"/>
        <w:numPr>
          <w:ilvl w:val="0"/>
          <w:numId w:val="25"/>
        </w:numPr>
        <w:jc w:val="both"/>
      </w:pPr>
      <w:r w:rsidRPr="00AA6616">
        <w:t>příjemce je v prodlení s předložením vyúčtování o využití dotace nebo závěrečné zprávy delším než 15 kalendářních dnů od data uvedeného ve smlouvě.</w:t>
      </w:r>
    </w:p>
    <w:p w:rsidR="007D2DA1" w:rsidRPr="00AA6616" w:rsidRDefault="007D2DA1" w:rsidP="007D2DA1">
      <w:pPr>
        <w:pStyle w:val="Odstavecseseznamem"/>
        <w:jc w:val="both"/>
      </w:pPr>
    </w:p>
    <w:p w:rsidR="007D2DA1" w:rsidRPr="00AA6616" w:rsidRDefault="007D2DA1" w:rsidP="007D2DA1">
      <w:pPr>
        <w:pStyle w:val="Zkladntextodsazen2"/>
        <w:numPr>
          <w:ilvl w:val="0"/>
          <w:numId w:val="26"/>
        </w:numPr>
        <w:tabs>
          <w:tab w:val="clear" w:pos="645"/>
        </w:tabs>
        <w:spacing w:after="0" w:line="240" w:lineRule="auto"/>
        <w:ind w:left="357" w:hanging="357"/>
        <w:jc w:val="both"/>
      </w:pPr>
      <w:r w:rsidRPr="00AA6616">
        <w:t>Příjemce je oprávněn tuto smlouvu kdykoliv písemně vypovědět, nejpozději však do konce lhůty pro podání vyúčtování. V takovém případě je příjemce povinen vrátit poskytnutou dotaci poskytovateli do 5 dnů ode dne účinnosti výpovědi.</w:t>
      </w:r>
    </w:p>
    <w:p w:rsidR="007D2DA1" w:rsidRPr="00AA6616" w:rsidRDefault="007D2DA1" w:rsidP="007D2DA1">
      <w:pPr>
        <w:pStyle w:val="Odstavecseseznamem"/>
        <w:ind w:left="705"/>
        <w:jc w:val="both"/>
      </w:pPr>
    </w:p>
    <w:p w:rsidR="007D2DA1" w:rsidRPr="00AA6616" w:rsidRDefault="007D2DA1" w:rsidP="007D2DA1">
      <w:pPr>
        <w:pStyle w:val="Zkladntextodsazen2"/>
        <w:numPr>
          <w:ilvl w:val="0"/>
          <w:numId w:val="26"/>
        </w:numPr>
        <w:tabs>
          <w:tab w:val="clear" w:pos="645"/>
        </w:tabs>
        <w:spacing w:after="0" w:line="240" w:lineRule="auto"/>
        <w:ind w:left="357" w:hanging="357"/>
        <w:jc w:val="both"/>
      </w:pPr>
      <w:r w:rsidRPr="00AA6616">
        <w:t xml:space="preserve">Výpovědní doba činí 10 dnů a začíná běžet doručením písemného vyhotovení výpovědi druhé smluvní straně. Účinky výpovědi nastávají dnem následujícím po uplynutí výpovědní lhůty. Poskytovatel v písemné výpovědi vždy uvede zjištěné skutečnosti, které vedly k výpovědi smlouvy. </w:t>
      </w:r>
    </w:p>
    <w:p w:rsidR="007D2DA1" w:rsidRPr="00AA6616" w:rsidRDefault="007D2DA1" w:rsidP="007D2DA1">
      <w:pPr>
        <w:pStyle w:val="Odstavecseseznamem"/>
      </w:pPr>
    </w:p>
    <w:p w:rsidR="007D2DA1" w:rsidRPr="00AA6616" w:rsidRDefault="007D2DA1" w:rsidP="007D2DA1">
      <w:pPr>
        <w:pStyle w:val="Zkladntextodsazen2"/>
        <w:numPr>
          <w:ilvl w:val="0"/>
          <w:numId w:val="26"/>
        </w:numPr>
        <w:tabs>
          <w:tab w:val="clear" w:pos="645"/>
        </w:tabs>
        <w:spacing w:after="0" w:line="240" w:lineRule="auto"/>
        <w:ind w:left="357" w:hanging="357"/>
        <w:jc w:val="both"/>
        <w:rPr>
          <w:rFonts w:eastAsia="Calibri"/>
          <w:color w:val="000000"/>
        </w:rPr>
      </w:pPr>
      <w:r w:rsidRPr="00AA6616">
        <w:rPr>
          <w:rFonts w:eastAsia="Calibri"/>
          <w:color w:val="000000"/>
        </w:rPr>
        <w:t xml:space="preserve">Po doručení výpovědi poskytovateli nebo příjemci dotace bude poskytování peněžních prostředků pozastaveno. </w:t>
      </w:r>
    </w:p>
    <w:p w:rsidR="007D2DA1" w:rsidRPr="00AA6616" w:rsidRDefault="007D2DA1" w:rsidP="007D2DA1">
      <w:pPr>
        <w:pStyle w:val="Odstavecseseznamem"/>
        <w:ind w:left="705"/>
        <w:jc w:val="both"/>
      </w:pPr>
    </w:p>
    <w:p w:rsidR="007D2DA1" w:rsidRPr="00AA6616" w:rsidRDefault="007D2DA1" w:rsidP="007D2DA1">
      <w:pPr>
        <w:pStyle w:val="Zkladntextodsazen2"/>
        <w:numPr>
          <w:ilvl w:val="0"/>
          <w:numId w:val="26"/>
        </w:numPr>
        <w:tabs>
          <w:tab w:val="clear" w:pos="645"/>
        </w:tabs>
        <w:spacing w:after="0" w:line="240" w:lineRule="auto"/>
        <w:ind w:left="357" w:hanging="357"/>
        <w:jc w:val="both"/>
      </w:pPr>
      <w:r w:rsidRPr="00AA6616">
        <w:t xml:space="preserve">Pokud poskytovatel vypoví tuto smlouvu před poskytnutím dotace, zaniká příjemci nárok na vyplacení dosud neposkytnuté části dotace. </w:t>
      </w:r>
    </w:p>
    <w:p w:rsidR="007D2DA1" w:rsidRPr="00AA6616" w:rsidRDefault="007D2DA1" w:rsidP="007D2DA1">
      <w:pPr>
        <w:jc w:val="both"/>
      </w:pPr>
    </w:p>
    <w:p w:rsidR="007D2DA1" w:rsidRPr="00AA6616" w:rsidRDefault="007D2DA1" w:rsidP="007D2DA1">
      <w:pPr>
        <w:pStyle w:val="Zkladntextodsazen2"/>
        <w:numPr>
          <w:ilvl w:val="0"/>
          <w:numId w:val="26"/>
        </w:numPr>
        <w:tabs>
          <w:tab w:val="clear" w:pos="645"/>
        </w:tabs>
        <w:spacing w:after="0" w:line="240" w:lineRule="auto"/>
        <w:ind w:left="357" w:hanging="357"/>
        <w:jc w:val="both"/>
      </w:pPr>
      <w:r w:rsidRPr="00AA6616">
        <w:t xml:space="preserve">Jestliže dojde k výpovědi této smlouvy poté, co poskytovatel poukázal dotaci (nebo její část) na účet příjemce, je příjemce povinen vrátit poskytnuté peněžní prostředky (nebo jejich část) bezhotovostním převodem na účet poskytovatele dotace uvedený v této smlouvě, a to ve lhůtě 10 dnů ode dne nabytí účinnosti výpovědi. </w:t>
      </w:r>
    </w:p>
    <w:p w:rsidR="007D2DA1" w:rsidRPr="00AA6616" w:rsidRDefault="007D2DA1" w:rsidP="007D2DA1">
      <w:pPr>
        <w:jc w:val="both"/>
      </w:pPr>
    </w:p>
    <w:p w:rsidR="007D2DA1" w:rsidRPr="00AA6616" w:rsidRDefault="007D2DA1" w:rsidP="007D2DA1">
      <w:pPr>
        <w:pStyle w:val="Zkladntextodsazen2"/>
        <w:numPr>
          <w:ilvl w:val="0"/>
          <w:numId w:val="26"/>
        </w:numPr>
        <w:tabs>
          <w:tab w:val="clear" w:pos="645"/>
        </w:tabs>
        <w:spacing w:after="0" w:line="240" w:lineRule="auto"/>
        <w:ind w:left="357" w:hanging="357"/>
        <w:jc w:val="both"/>
      </w:pPr>
      <w:r w:rsidRPr="00AA6616">
        <w:rPr>
          <w:rFonts w:eastAsia="Calibri"/>
        </w:rPr>
        <w:t>Pokud příjemce ve stanovené lhůtě poskytnuté prostředky nevrátí, považují se tyto prostředky za zadržené v souladu s § 22 odst. 3 zákona č. 250/2000 Sb., o rozpočtových pravidlech územních rozpočtů, ve znění pozdějších předpisů.</w:t>
      </w:r>
    </w:p>
    <w:p w:rsidR="007D2DA1" w:rsidRPr="00AA6616" w:rsidRDefault="007D2DA1" w:rsidP="007D2DA1">
      <w:pPr>
        <w:pStyle w:val="Odstavecseseznamem"/>
      </w:pPr>
    </w:p>
    <w:p w:rsidR="007D2DA1" w:rsidRPr="00AA6616" w:rsidRDefault="007D2DA1" w:rsidP="007D2DA1">
      <w:pPr>
        <w:pStyle w:val="Zkladntextodsazen2"/>
        <w:numPr>
          <w:ilvl w:val="0"/>
          <w:numId w:val="26"/>
        </w:numPr>
        <w:tabs>
          <w:tab w:val="clear" w:pos="645"/>
        </w:tabs>
        <w:spacing w:after="0" w:line="240" w:lineRule="auto"/>
        <w:ind w:left="357" w:hanging="357"/>
        <w:jc w:val="both"/>
        <w:rPr>
          <w:rFonts w:eastAsia="Calibri"/>
          <w:color w:val="000000"/>
        </w:rPr>
      </w:pPr>
      <w:r w:rsidRPr="00AA6616">
        <w:rPr>
          <w:rFonts w:eastAsia="Calibri"/>
          <w:color w:val="000000"/>
        </w:rPr>
        <w:t xml:space="preserve">Výpovědí smlouvy zanikají práva a povinnosti smluvních stran, vyjma smluvních ustanovení týkajících se řešení sporů mezi smluvními stranami, sankčních ustanovení </w:t>
      </w:r>
      <w:r w:rsidRPr="00AA6616">
        <w:rPr>
          <w:rFonts w:eastAsia="Calibri"/>
          <w:color w:val="000000"/>
        </w:rPr>
        <w:br/>
        <w:t xml:space="preserve">a jiných ustanovení, která podle projevené vůle smluvních stran nebo vzhledem ke své povaze mají trvat i po ukončení smlouvy. </w:t>
      </w:r>
    </w:p>
    <w:p w:rsidR="007D2DA1" w:rsidRPr="00AA6616" w:rsidRDefault="007D2DA1" w:rsidP="007D2DA1">
      <w:pPr>
        <w:ind w:left="240"/>
        <w:jc w:val="both"/>
      </w:pPr>
    </w:p>
    <w:p w:rsidR="007D2DA1" w:rsidRPr="00AA6616" w:rsidRDefault="007D2DA1" w:rsidP="007D2DA1">
      <w:pPr>
        <w:pStyle w:val="Zkladntext31"/>
        <w:numPr>
          <w:ilvl w:val="12"/>
          <w:numId w:val="0"/>
        </w:numPr>
        <w:jc w:val="center"/>
        <w:rPr>
          <w:b w:val="0"/>
          <w:bCs/>
          <w:sz w:val="24"/>
          <w:szCs w:val="24"/>
        </w:rPr>
      </w:pPr>
      <w:r w:rsidRPr="00AA6616">
        <w:rPr>
          <w:bCs/>
          <w:sz w:val="24"/>
          <w:szCs w:val="24"/>
        </w:rPr>
        <w:t>IX.</w:t>
      </w:r>
    </w:p>
    <w:p w:rsidR="007D2DA1" w:rsidRPr="00AA6616" w:rsidRDefault="007D2DA1" w:rsidP="007D2DA1">
      <w:pPr>
        <w:numPr>
          <w:ilvl w:val="12"/>
          <w:numId w:val="0"/>
        </w:numPr>
        <w:jc w:val="both"/>
      </w:pPr>
    </w:p>
    <w:p w:rsidR="007D2DA1" w:rsidRPr="00AA6616" w:rsidRDefault="007D2DA1" w:rsidP="007D2DA1">
      <w:pPr>
        <w:jc w:val="both"/>
      </w:pPr>
      <w:r w:rsidRPr="00AA6616">
        <w:t xml:space="preserve">O právním jednání, tj. poskytnutí dotace a uzavření smlouvy rozhodlo Zastupitelstvo města Prostějova na svém zasedání konaném dne …………. </w:t>
      </w:r>
      <w:proofErr w:type="gramStart"/>
      <w:r w:rsidRPr="00AA6616">
        <w:t>usnesením</w:t>
      </w:r>
      <w:proofErr w:type="gramEnd"/>
      <w:r w:rsidRPr="00AA6616">
        <w:t xml:space="preserve"> č. ………….  </w:t>
      </w:r>
    </w:p>
    <w:p w:rsidR="007D2DA1" w:rsidRPr="00AA6616" w:rsidRDefault="007D2DA1" w:rsidP="007D2DA1">
      <w:pPr>
        <w:pStyle w:val="Zkladntext31"/>
        <w:rPr>
          <w:bCs/>
          <w:i/>
          <w:color w:val="FF0000"/>
          <w:sz w:val="24"/>
          <w:szCs w:val="24"/>
        </w:rPr>
      </w:pPr>
    </w:p>
    <w:p w:rsidR="007D2DA1" w:rsidRPr="00AA6616" w:rsidRDefault="007D2DA1" w:rsidP="007D2DA1">
      <w:pPr>
        <w:pStyle w:val="Zkladntext31"/>
        <w:rPr>
          <w:bCs/>
          <w:i/>
          <w:color w:val="FF0000"/>
          <w:sz w:val="24"/>
          <w:szCs w:val="24"/>
        </w:rPr>
      </w:pPr>
    </w:p>
    <w:p w:rsidR="007D2DA1" w:rsidRPr="00AA6616" w:rsidRDefault="007D2DA1" w:rsidP="007D2DA1">
      <w:pPr>
        <w:pStyle w:val="Zkladntext31"/>
        <w:jc w:val="center"/>
        <w:rPr>
          <w:b w:val="0"/>
          <w:bCs/>
          <w:sz w:val="24"/>
          <w:szCs w:val="24"/>
        </w:rPr>
      </w:pPr>
      <w:r w:rsidRPr="00AA6616">
        <w:rPr>
          <w:bCs/>
          <w:sz w:val="24"/>
          <w:szCs w:val="24"/>
        </w:rPr>
        <w:t>X.</w:t>
      </w:r>
    </w:p>
    <w:p w:rsidR="007D2DA1" w:rsidRPr="00AA6616" w:rsidRDefault="007D2DA1" w:rsidP="007D2DA1">
      <w:pPr>
        <w:jc w:val="both"/>
      </w:pPr>
    </w:p>
    <w:p w:rsidR="007D2DA1" w:rsidRPr="00AA6616" w:rsidRDefault="007D2DA1" w:rsidP="007D2DA1">
      <w:pPr>
        <w:pStyle w:val="Zkladntext2"/>
        <w:rPr>
          <w:sz w:val="24"/>
        </w:rPr>
      </w:pPr>
      <w:r w:rsidRPr="00AA6616">
        <w:rPr>
          <w:sz w:val="24"/>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7D2DA1" w:rsidRPr="00AA6616" w:rsidRDefault="007D2DA1" w:rsidP="007D2DA1">
      <w:pPr>
        <w:pStyle w:val="Zkladntext2"/>
        <w:rPr>
          <w:sz w:val="24"/>
        </w:rPr>
      </w:pPr>
    </w:p>
    <w:p w:rsidR="007D2DA1" w:rsidRPr="00AA6616" w:rsidRDefault="007D2DA1" w:rsidP="007D2DA1">
      <w:pPr>
        <w:jc w:val="both"/>
      </w:pPr>
    </w:p>
    <w:p w:rsidR="007D2DA1" w:rsidRPr="00AA6616" w:rsidRDefault="007D2DA1" w:rsidP="007D2DA1">
      <w:pPr>
        <w:jc w:val="center"/>
        <w:rPr>
          <w:b/>
          <w:bCs/>
        </w:rPr>
      </w:pPr>
      <w:r w:rsidRPr="00AA6616">
        <w:rPr>
          <w:b/>
          <w:bCs/>
        </w:rPr>
        <w:lastRenderedPageBreak/>
        <w:t>XI.</w:t>
      </w:r>
    </w:p>
    <w:p w:rsidR="007D2DA1" w:rsidRPr="00AA6616" w:rsidRDefault="007D2DA1" w:rsidP="007D2DA1">
      <w:pPr>
        <w:autoSpaceDE w:val="0"/>
        <w:autoSpaceDN w:val="0"/>
        <w:adjustRightInd w:val="0"/>
        <w:rPr>
          <w:rFonts w:ascii="Arial" w:eastAsia="Calibri" w:hAnsi="Arial" w:cs="Arial"/>
          <w:color w:val="000000"/>
        </w:rPr>
      </w:pPr>
    </w:p>
    <w:p w:rsidR="007D2DA1" w:rsidRPr="00AA6616" w:rsidRDefault="007D2DA1" w:rsidP="007D2DA1">
      <w:pPr>
        <w:pStyle w:val="Odstavecseseznamem"/>
        <w:numPr>
          <w:ilvl w:val="0"/>
          <w:numId w:val="27"/>
        </w:numPr>
        <w:jc w:val="both"/>
      </w:pPr>
      <w:r w:rsidRPr="00AA6616">
        <w:rPr>
          <w:color w:val="000000"/>
        </w:rPr>
        <w:t xml:space="preserve">Příjemce je oprávněn přijmout dotaci pouze v případě, že k datu podpisu smlouvy </w:t>
      </w:r>
      <w:r w:rsidRPr="00AA6616">
        <w:t>u něj nenastala žádná ze skutečností vylučující poskytnutí dotace uvedená v článku 3 odst. 8 Zásad poskytování dotace a návratné finanční výpomoci a pokud skutečnosti uvedené v prohlášení žadatele, které je nedílnou součástí žádosti o dotaci, jsou pravdivé.</w:t>
      </w:r>
    </w:p>
    <w:p w:rsidR="007D2DA1" w:rsidRPr="00AA6616" w:rsidRDefault="007D2DA1" w:rsidP="007D2DA1">
      <w:pPr>
        <w:ind w:left="360"/>
        <w:jc w:val="both"/>
      </w:pPr>
    </w:p>
    <w:p w:rsidR="007D2DA1" w:rsidRPr="00AA6616" w:rsidRDefault="007D2DA1" w:rsidP="007D2DA1">
      <w:pPr>
        <w:pStyle w:val="Odstavecseseznamem"/>
        <w:numPr>
          <w:ilvl w:val="0"/>
          <w:numId w:val="27"/>
        </w:numPr>
        <w:jc w:val="both"/>
      </w:pPr>
      <w:r w:rsidRPr="00AA6616">
        <w:rPr>
          <w:rFonts w:eastAsia="Calibri"/>
          <w:color w:val="000000"/>
        </w:rPr>
        <w:t xml:space="preserve">Porušení povinnosti stanovené v odst. 1 se považuje za porušení rozpočtové kázně neoprávněným použitím peněžních prostředků </w:t>
      </w:r>
      <w:r w:rsidRPr="00AA6616">
        <w:rPr>
          <w:rFonts w:eastAsia="Calibri"/>
        </w:rPr>
        <w:t xml:space="preserve">v souladu s § 22 odst. 2 zákona </w:t>
      </w:r>
      <w:r w:rsidRPr="00AA6616">
        <w:rPr>
          <w:rFonts w:eastAsia="Calibri"/>
        </w:rPr>
        <w:br/>
        <w:t>č. 250/2000 Sb., o rozpočtových pravidlech územních rozpočtů, ve znění pozdějších předpisů.</w:t>
      </w:r>
    </w:p>
    <w:p w:rsidR="007D2DA1" w:rsidRPr="00AA6616" w:rsidRDefault="007D2DA1" w:rsidP="007D2DA1">
      <w:pPr>
        <w:pStyle w:val="Odstavecseseznamem"/>
        <w:autoSpaceDE w:val="0"/>
        <w:autoSpaceDN w:val="0"/>
        <w:adjustRightInd w:val="0"/>
        <w:ind w:left="360"/>
        <w:jc w:val="both"/>
        <w:rPr>
          <w:rFonts w:eastAsia="Calibri"/>
          <w:color w:val="000000"/>
        </w:rPr>
      </w:pPr>
    </w:p>
    <w:p w:rsidR="007D2DA1" w:rsidRPr="00AA6616" w:rsidRDefault="007D2DA1" w:rsidP="007D2DA1">
      <w:pPr>
        <w:pStyle w:val="Odstavecseseznamem"/>
        <w:autoSpaceDE w:val="0"/>
        <w:autoSpaceDN w:val="0"/>
        <w:adjustRightInd w:val="0"/>
        <w:ind w:left="360"/>
        <w:jc w:val="center"/>
        <w:rPr>
          <w:rFonts w:eastAsia="Calibri"/>
          <w:b/>
          <w:color w:val="000000"/>
        </w:rPr>
      </w:pPr>
      <w:r w:rsidRPr="00AA6616">
        <w:rPr>
          <w:rFonts w:eastAsia="Calibri"/>
          <w:b/>
          <w:color w:val="000000"/>
        </w:rPr>
        <w:t>XII.</w:t>
      </w:r>
    </w:p>
    <w:p w:rsidR="007D2DA1" w:rsidRPr="00AA6616" w:rsidRDefault="007D2DA1" w:rsidP="007D2DA1">
      <w:pPr>
        <w:rPr>
          <w:b/>
          <w:bCs/>
        </w:rPr>
      </w:pPr>
    </w:p>
    <w:p w:rsidR="007D2DA1" w:rsidRPr="00AA6616" w:rsidRDefault="007D2DA1" w:rsidP="007D2DA1">
      <w:pPr>
        <w:pStyle w:val="Odstavecseseznamem"/>
        <w:numPr>
          <w:ilvl w:val="0"/>
          <w:numId w:val="11"/>
        </w:numPr>
        <w:jc w:val="both"/>
        <w:rPr>
          <w:bCs/>
        </w:rPr>
      </w:pPr>
      <w:r w:rsidRPr="00AA6616">
        <w:rPr>
          <w:bCs/>
        </w:rPr>
        <w:t xml:space="preserve">Smluvní strany sjednávají, že doručování písemností bude probíhat prostřednictvím provozovatelů poštovních služeb na adresy uvedené ve smlouvě, v případě změny adresy na adresu, druhou stranou písemně oznámenou. Pro případ, že se písemnost vrátí poskytovateli jako nedoručitelná, příjemce ji odepře přijmout nebo si ji ve lhůtě určené k vyzvednutí nevyzvedne, má se za to, že písemnost byla příjemci doručena dnem jejího vrácení poskytovateli nebo dnem, kdy ji příjemce odmítl přijmout nebo posledním dnem lhůty k vyzvednutí. </w:t>
      </w:r>
    </w:p>
    <w:p w:rsidR="007D2DA1" w:rsidRPr="00AA6616" w:rsidRDefault="007D2DA1" w:rsidP="007D2DA1">
      <w:pPr>
        <w:pStyle w:val="Odstavecseseznamem"/>
        <w:ind w:left="360"/>
        <w:jc w:val="both"/>
        <w:rPr>
          <w:bCs/>
        </w:rPr>
      </w:pPr>
    </w:p>
    <w:p w:rsidR="007D2DA1" w:rsidRPr="00AA6616" w:rsidRDefault="007D2DA1" w:rsidP="007D2DA1">
      <w:pPr>
        <w:numPr>
          <w:ilvl w:val="0"/>
          <w:numId w:val="11"/>
        </w:numPr>
        <w:ind w:left="357" w:hanging="357"/>
        <w:jc w:val="both"/>
      </w:pPr>
      <w:r w:rsidRPr="00AA6616">
        <w:t xml:space="preserve">Smlouva se uzavírá v souladu s § 159 a násl. zákona č. 500/2004 Sb., správní řád, ve znění pozdějších právních předpisů a příslušnými ustanoveními zákona č. 250/2000 Sb., </w:t>
      </w:r>
      <w:r w:rsidRPr="00AA6616">
        <w:br/>
        <w:t>o rozpočtových pravidlech územních rozpočtů, ve znění pozdějších právních předpisů.</w:t>
      </w:r>
    </w:p>
    <w:p w:rsidR="007D2DA1" w:rsidRPr="00AA6616" w:rsidRDefault="007D2DA1" w:rsidP="007D2DA1">
      <w:pPr>
        <w:pStyle w:val="Odstavecseseznamem"/>
        <w:ind w:left="0"/>
        <w:rPr>
          <w:i/>
        </w:rPr>
      </w:pPr>
    </w:p>
    <w:p w:rsidR="007D2DA1" w:rsidRPr="00AA6616" w:rsidRDefault="007D2DA1" w:rsidP="007D2DA1">
      <w:pPr>
        <w:numPr>
          <w:ilvl w:val="0"/>
          <w:numId w:val="11"/>
        </w:numPr>
        <w:ind w:left="357" w:hanging="357"/>
        <w:jc w:val="both"/>
      </w:pPr>
      <w:r w:rsidRPr="00AA6616">
        <w:t xml:space="preserve"> Obě strany prohlašují, že smlouva byla uzavřena svobodně, vážně a srozumitelně, bez nátlaku a nikoliv za nápadně nevýhodných podmínek, a na důkaz toho připojují níže své podpisy.</w:t>
      </w:r>
    </w:p>
    <w:p w:rsidR="007D2DA1" w:rsidRPr="00AA6616" w:rsidRDefault="007D2DA1" w:rsidP="007D2DA1">
      <w:pPr>
        <w:ind w:left="357" w:hanging="357"/>
        <w:jc w:val="both"/>
      </w:pPr>
    </w:p>
    <w:p w:rsidR="007D2DA1" w:rsidRPr="00AA6616" w:rsidRDefault="007D2DA1" w:rsidP="007D2DA1">
      <w:pPr>
        <w:numPr>
          <w:ilvl w:val="0"/>
          <w:numId w:val="11"/>
        </w:numPr>
        <w:ind w:left="357" w:hanging="357"/>
        <w:jc w:val="both"/>
      </w:pPr>
      <w:r w:rsidRPr="00AA6616">
        <w:t>Tato smlouva může být měněna nebo doplňována pouze písemnými číslovanými dodatky podepsanými zástupci obou smluvních stran.</w:t>
      </w:r>
    </w:p>
    <w:p w:rsidR="007D2DA1" w:rsidRPr="00AA6616" w:rsidRDefault="007D2DA1" w:rsidP="007D2DA1">
      <w:pPr>
        <w:numPr>
          <w:ilvl w:val="12"/>
          <w:numId w:val="0"/>
        </w:numPr>
        <w:ind w:left="357" w:hanging="357"/>
        <w:jc w:val="both"/>
      </w:pPr>
    </w:p>
    <w:p w:rsidR="007D2DA1" w:rsidRPr="00AA6616" w:rsidRDefault="007D2DA1" w:rsidP="007D2DA1">
      <w:pPr>
        <w:numPr>
          <w:ilvl w:val="0"/>
          <w:numId w:val="11"/>
        </w:numPr>
        <w:ind w:left="357" w:hanging="357"/>
        <w:jc w:val="both"/>
      </w:pPr>
      <w:r w:rsidRPr="00AA6616">
        <w:t xml:space="preserve">Tato smlouva je vyhotovena ve čtyřech stejnopisech, z nichž poskytovatel obdrží dvě vyhotovení a příjemce dvě vyhotovení. </w:t>
      </w:r>
    </w:p>
    <w:p w:rsidR="007D2DA1" w:rsidRPr="00AA6616" w:rsidRDefault="007D2DA1" w:rsidP="007D2DA1">
      <w:pPr>
        <w:pStyle w:val="Odstavecseseznamem"/>
      </w:pPr>
    </w:p>
    <w:p w:rsidR="007D2DA1" w:rsidRPr="00AA6616" w:rsidRDefault="007D2DA1" w:rsidP="007D2DA1">
      <w:pPr>
        <w:numPr>
          <w:ilvl w:val="0"/>
          <w:numId w:val="11"/>
        </w:numPr>
        <w:ind w:left="357" w:hanging="357"/>
        <w:jc w:val="both"/>
      </w:pPr>
      <w:r w:rsidRPr="00AA6616">
        <w:t>Smlouva nabývá platnosti dnem podpisu smluvními stranami a účinnosti dnem uveřejnění v registru smluv v souladu se zákonem č. 340/2015 Sb., o zvláštních podmínkách účinnosti některých smluv, uveřejňování těchto smluv a o registru smluv (zákon o registru smluv).</w:t>
      </w:r>
    </w:p>
    <w:p w:rsidR="007D2DA1" w:rsidRPr="00AA6616" w:rsidRDefault="007D2DA1" w:rsidP="007D2DA1">
      <w:pPr>
        <w:ind w:left="360"/>
      </w:pPr>
    </w:p>
    <w:p w:rsidR="007D2DA1" w:rsidRPr="00AA6616" w:rsidRDefault="007D2DA1" w:rsidP="007D2DA1">
      <w:r w:rsidRPr="00AA6616">
        <w:t>Prostějov dne ………</w:t>
      </w:r>
    </w:p>
    <w:p w:rsidR="007D2DA1" w:rsidRPr="00AA6616" w:rsidRDefault="007D2DA1" w:rsidP="007D2DA1"/>
    <w:p w:rsidR="007D2DA1" w:rsidRPr="00AA6616" w:rsidRDefault="007D2DA1" w:rsidP="007D2DA1">
      <w:r w:rsidRPr="00B96653">
        <w:t xml:space="preserve">Statutární město Prostějov </w:t>
      </w:r>
      <w:r>
        <w:tab/>
      </w:r>
      <w:r>
        <w:tab/>
      </w:r>
      <w:r>
        <w:tab/>
      </w:r>
      <w:r w:rsidRPr="00B96653">
        <w:t>Servisní společnost odpady Olomouckého kraje, a.s.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382"/>
      </w:tblGrid>
      <w:tr w:rsidR="007D2DA1" w:rsidTr="007F11C1">
        <w:tc>
          <w:tcPr>
            <w:tcW w:w="3964" w:type="dxa"/>
          </w:tcPr>
          <w:p w:rsidR="007D2DA1" w:rsidRDefault="007D2DA1" w:rsidP="007F11C1">
            <w:pPr>
              <w:tabs>
                <w:tab w:val="left" w:pos="284"/>
              </w:tabs>
              <w:jc w:val="both"/>
              <w:rPr>
                <w:rFonts w:ascii="Arial" w:hAnsi="Arial" w:cs="Arial"/>
              </w:rPr>
            </w:pPr>
          </w:p>
          <w:p w:rsidR="007D2DA1" w:rsidRDefault="007D2DA1" w:rsidP="007F11C1">
            <w:pPr>
              <w:tabs>
                <w:tab w:val="left" w:pos="284"/>
              </w:tabs>
              <w:jc w:val="both"/>
              <w:rPr>
                <w:rFonts w:ascii="Arial" w:hAnsi="Arial" w:cs="Arial"/>
              </w:rPr>
            </w:pPr>
          </w:p>
          <w:p w:rsidR="007D2DA1" w:rsidRPr="00B96653" w:rsidRDefault="007D2DA1" w:rsidP="007F11C1">
            <w:pPr>
              <w:tabs>
                <w:tab w:val="left" w:pos="284"/>
              </w:tabs>
              <w:jc w:val="both"/>
              <w:rPr>
                <w:rFonts w:ascii="Arial" w:hAnsi="Arial" w:cs="Arial"/>
              </w:rPr>
            </w:pPr>
          </w:p>
          <w:p w:rsidR="007D2DA1" w:rsidRPr="00B96653" w:rsidRDefault="007D2DA1" w:rsidP="007F11C1">
            <w:pPr>
              <w:tabs>
                <w:tab w:val="left" w:pos="284"/>
              </w:tabs>
              <w:jc w:val="both"/>
              <w:rPr>
                <w:rFonts w:ascii="Arial" w:hAnsi="Arial" w:cs="Arial"/>
              </w:rPr>
            </w:pPr>
            <w:r w:rsidRPr="00B96653">
              <w:rPr>
                <w:rFonts w:ascii="Arial" w:hAnsi="Arial" w:cs="Arial"/>
              </w:rPr>
              <w:t>……………………………………</w:t>
            </w:r>
          </w:p>
        </w:tc>
        <w:tc>
          <w:tcPr>
            <w:tcW w:w="5382" w:type="dxa"/>
          </w:tcPr>
          <w:p w:rsidR="007D2DA1" w:rsidRDefault="007D2DA1" w:rsidP="007F11C1">
            <w:pPr>
              <w:tabs>
                <w:tab w:val="left" w:pos="284"/>
              </w:tabs>
              <w:jc w:val="both"/>
              <w:rPr>
                <w:rFonts w:ascii="Arial" w:hAnsi="Arial" w:cs="Arial"/>
              </w:rPr>
            </w:pPr>
          </w:p>
          <w:p w:rsidR="007D2DA1" w:rsidRDefault="007D2DA1" w:rsidP="007F11C1">
            <w:pPr>
              <w:tabs>
                <w:tab w:val="left" w:pos="284"/>
              </w:tabs>
              <w:jc w:val="both"/>
              <w:rPr>
                <w:rFonts w:ascii="Arial" w:hAnsi="Arial" w:cs="Arial"/>
              </w:rPr>
            </w:pPr>
          </w:p>
          <w:p w:rsidR="007D2DA1" w:rsidRPr="00B96653" w:rsidRDefault="007D2DA1" w:rsidP="007F11C1">
            <w:pPr>
              <w:tabs>
                <w:tab w:val="left" w:pos="284"/>
              </w:tabs>
              <w:jc w:val="both"/>
              <w:rPr>
                <w:rFonts w:ascii="Arial" w:hAnsi="Arial" w:cs="Arial"/>
              </w:rPr>
            </w:pPr>
          </w:p>
          <w:p w:rsidR="007D2DA1" w:rsidRPr="00B96653" w:rsidRDefault="007D2DA1" w:rsidP="007F11C1">
            <w:pPr>
              <w:tabs>
                <w:tab w:val="left" w:pos="284"/>
              </w:tabs>
              <w:jc w:val="both"/>
              <w:rPr>
                <w:rFonts w:ascii="Arial" w:hAnsi="Arial" w:cs="Arial"/>
              </w:rPr>
            </w:pPr>
            <w:r w:rsidRPr="00B96653">
              <w:rPr>
                <w:rFonts w:ascii="Arial" w:hAnsi="Arial" w:cs="Arial"/>
              </w:rPr>
              <w:t>………………………………………………..</w:t>
            </w:r>
            <w:r>
              <w:rPr>
                <w:rFonts w:ascii="Arial" w:hAnsi="Arial" w:cs="Arial"/>
              </w:rPr>
              <w:t>..........</w:t>
            </w:r>
          </w:p>
        </w:tc>
      </w:tr>
      <w:tr w:rsidR="007D2DA1" w:rsidTr="007F11C1">
        <w:tc>
          <w:tcPr>
            <w:tcW w:w="3964" w:type="dxa"/>
          </w:tcPr>
          <w:p w:rsidR="007D2DA1" w:rsidRPr="00B96653" w:rsidRDefault="007D2DA1" w:rsidP="007F11C1">
            <w:pPr>
              <w:tabs>
                <w:tab w:val="left" w:pos="284"/>
              </w:tabs>
              <w:jc w:val="center"/>
            </w:pPr>
            <w:r w:rsidRPr="00B96653">
              <w:t>Mgr. František Jura</w:t>
            </w:r>
            <w:r>
              <w:t>, primátor</w:t>
            </w:r>
          </w:p>
        </w:tc>
        <w:tc>
          <w:tcPr>
            <w:tcW w:w="5382" w:type="dxa"/>
          </w:tcPr>
          <w:p w:rsidR="007D2DA1" w:rsidRDefault="007D2DA1" w:rsidP="007F11C1">
            <w:pPr>
              <w:tabs>
                <w:tab w:val="left" w:pos="284"/>
              </w:tabs>
              <w:jc w:val="center"/>
            </w:pPr>
            <w:r w:rsidRPr="00B96653">
              <w:t xml:space="preserve">Mgr. Miroslav </w:t>
            </w:r>
            <w:proofErr w:type="spellStart"/>
            <w:r w:rsidRPr="00B96653">
              <w:t>Žbánek</w:t>
            </w:r>
            <w:proofErr w:type="spellEnd"/>
            <w:r w:rsidRPr="00B96653">
              <w:t>, předseda představenst</w:t>
            </w:r>
            <w:r>
              <w:t>v</w:t>
            </w:r>
            <w:r w:rsidRPr="00B96653">
              <w:t>a</w:t>
            </w:r>
          </w:p>
          <w:p w:rsidR="007D2DA1" w:rsidRDefault="007D2DA1" w:rsidP="007F11C1">
            <w:pPr>
              <w:tabs>
                <w:tab w:val="left" w:pos="284"/>
              </w:tabs>
              <w:jc w:val="center"/>
            </w:pPr>
          </w:p>
          <w:p w:rsidR="007D2DA1" w:rsidRDefault="007D2DA1" w:rsidP="007F11C1">
            <w:pPr>
              <w:tabs>
                <w:tab w:val="left" w:pos="284"/>
              </w:tabs>
              <w:jc w:val="center"/>
            </w:pPr>
          </w:p>
          <w:p w:rsidR="007D2DA1" w:rsidRPr="00B96653" w:rsidRDefault="007D2DA1" w:rsidP="007F11C1">
            <w:pPr>
              <w:tabs>
                <w:tab w:val="left" w:pos="284"/>
              </w:tabs>
              <w:jc w:val="center"/>
            </w:pPr>
          </w:p>
        </w:tc>
      </w:tr>
      <w:tr w:rsidR="007D2DA1" w:rsidTr="007F11C1">
        <w:tc>
          <w:tcPr>
            <w:tcW w:w="3964" w:type="dxa"/>
          </w:tcPr>
          <w:p w:rsidR="007D2DA1" w:rsidRPr="00B96653" w:rsidRDefault="007D2DA1" w:rsidP="007F11C1">
            <w:pPr>
              <w:tabs>
                <w:tab w:val="left" w:pos="284"/>
              </w:tabs>
              <w:jc w:val="center"/>
            </w:pPr>
          </w:p>
        </w:tc>
        <w:tc>
          <w:tcPr>
            <w:tcW w:w="5382" w:type="dxa"/>
          </w:tcPr>
          <w:p w:rsidR="007D2DA1" w:rsidRPr="00B96653" w:rsidRDefault="007D2DA1" w:rsidP="007F11C1">
            <w:pPr>
              <w:tabs>
                <w:tab w:val="left" w:pos="284"/>
              </w:tabs>
              <w:jc w:val="center"/>
            </w:pPr>
            <w:r>
              <w:t>………………………………………………………..</w:t>
            </w:r>
          </w:p>
        </w:tc>
      </w:tr>
      <w:tr w:rsidR="007D2DA1" w:rsidTr="007F11C1">
        <w:tc>
          <w:tcPr>
            <w:tcW w:w="3964" w:type="dxa"/>
          </w:tcPr>
          <w:p w:rsidR="007D2DA1" w:rsidRPr="00B96653" w:rsidRDefault="007D2DA1" w:rsidP="007F11C1">
            <w:pPr>
              <w:tabs>
                <w:tab w:val="left" w:pos="284"/>
              </w:tabs>
              <w:jc w:val="center"/>
            </w:pPr>
          </w:p>
        </w:tc>
        <w:tc>
          <w:tcPr>
            <w:tcW w:w="5382" w:type="dxa"/>
          </w:tcPr>
          <w:p w:rsidR="007D2DA1" w:rsidRPr="00B96653" w:rsidRDefault="007D2DA1" w:rsidP="007F11C1">
            <w:pPr>
              <w:tabs>
                <w:tab w:val="left" w:pos="284"/>
              </w:tabs>
              <w:jc w:val="center"/>
            </w:pPr>
            <w:r w:rsidRPr="00B96653">
              <w:t>Ing. et Ing. Martin Šmída, člen představenstva</w:t>
            </w:r>
          </w:p>
        </w:tc>
      </w:tr>
    </w:tbl>
    <w:p w:rsidR="007D2DA1" w:rsidRDefault="007D2DA1" w:rsidP="007D2DA1">
      <w:pPr>
        <w:tabs>
          <w:tab w:val="left" w:pos="284"/>
        </w:tabs>
        <w:jc w:val="both"/>
        <w:rPr>
          <w:rFonts w:ascii="Arial" w:hAnsi="Arial" w:cs="Arial"/>
          <w:b/>
          <w:u w:val="single"/>
        </w:rPr>
      </w:pPr>
    </w:p>
    <w:sectPr w:rsidR="007D2DA1" w:rsidSect="00655F37">
      <w:footerReference w:type="default" r:id="rId9"/>
      <w:pgSz w:w="11906" w:h="16838"/>
      <w:pgMar w:top="851" w:right="1133"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20" w:rsidRDefault="00082220" w:rsidP="00C71327">
      <w:r>
        <w:separator/>
      </w:r>
    </w:p>
  </w:endnote>
  <w:endnote w:type="continuationSeparator" w:id="0">
    <w:p w:rsidR="00082220" w:rsidRDefault="00082220"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utura Lt AT">
    <w:altName w:val="Corbel"/>
    <w:panose1 w:val="02000403030000020003"/>
    <w:charset w:val="EE"/>
    <w:family w:val="auto"/>
    <w:pitch w:val="variable"/>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896686"/>
      <w:docPartObj>
        <w:docPartGallery w:val="Page Numbers (Bottom of Page)"/>
        <w:docPartUnique/>
      </w:docPartObj>
    </w:sdtPr>
    <w:sdtEndPr/>
    <w:sdtContent>
      <w:p w:rsidR="00FC118D" w:rsidRDefault="00FC118D" w:rsidP="00E26E18">
        <w:pPr>
          <w:pStyle w:val="Zpat"/>
          <w:ind w:left="3960"/>
          <w:jc w:val="right"/>
        </w:pPr>
        <w:r>
          <w:t xml:space="preserve">Strana| </w:t>
        </w:r>
        <w:r>
          <w:fldChar w:fldCharType="begin"/>
        </w:r>
        <w:r>
          <w:instrText>PAGE   \* MERGEFORMAT</w:instrText>
        </w:r>
        <w:r>
          <w:fldChar w:fldCharType="separate"/>
        </w:r>
        <w:r w:rsidR="00236FD4">
          <w:rPr>
            <w:noProof/>
          </w:rPr>
          <w:t>12</w:t>
        </w:r>
        <w:r>
          <w:fldChar w:fldCharType="end"/>
        </w:r>
      </w:p>
      <w:p w:rsidR="00BE75AA" w:rsidRDefault="005B4BB4" w:rsidP="00FC118D">
        <w:pPr>
          <w:pStyle w:val="Zpat"/>
        </w:pPr>
        <w:r w:rsidRPr="005B4BB4">
          <w:rPr>
            <w:rFonts w:ascii="Arial" w:hAnsi="Arial" w:cs="Arial"/>
            <w:sz w:val="22"/>
            <w:szCs w:val="22"/>
          </w:rPr>
          <w:t>Servisní společnost odpady Olomouckého kraje, a.s. – individuální dotace</w:t>
        </w:r>
        <w:r w:rsidR="00FC118D" w:rsidRPr="00FC118D">
          <w:rPr>
            <w:rFonts w:ascii="Arial" w:hAnsi="Arial" w:cs="Arial"/>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20" w:rsidRDefault="00082220" w:rsidP="00C71327">
      <w:r>
        <w:separator/>
      </w:r>
    </w:p>
  </w:footnote>
  <w:footnote w:type="continuationSeparator" w:id="0">
    <w:p w:rsidR="00082220" w:rsidRDefault="00082220"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8A6"/>
    <w:multiLevelType w:val="hybridMultilevel"/>
    <w:tmpl w:val="55D8D97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F065F9"/>
    <w:multiLevelType w:val="singleLevel"/>
    <w:tmpl w:val="827EAD54"/>
    <w:lvl w:ilvl="0">
      <w:start w:val="1"/>
      <w:numFmt w:val="decimal"/>
      <w:lvlText w:val="%1."/>
      <w:legacy w:legacy="1" w:legacySpace="0" w:legacyIndent="360"/>
      <w:lvlJc w:val="left"/>
      <w:pPr>
        <w:ind w:left="360" w:hanging="360"/>
      </w:pPr>
    </w:lvl>
  </w:abstractNum>
  <w:abstractNum w:abstractNumId="2" w15:restartNumberingAfterBreak="0">
    <w:nsid w:val="0D0A6C73"/>
    <w:multiLevelType w:val="hybridMultilevel"/>
    <w:tmpl w:val="4C1089A8"/>
    <w:lvl w:ilvl="0" w:tplc="E5E0452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EB85F39"/>
    <w:multiLevelType w:val="hybridMultilevel"/>
    <w:tmpl w:val="71BCAF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8356BC1"/>
    <w:multiLevelType w:val="hybridMultilevel"/>
    <w:tmpl w:val="55A640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A7965"/>
    <w:multiLevelType w:val="singleLevel"/>
    <w:tmpl w:val="DE0C331A"/>
    <w:lvl w:ilvl="0">
      <w:start w:val="2"/>
      <w:numFmt w:val="decimal"/>
      <w:lvlText w:val="%1."/>
      <w:lvlJc w:val="left"/>
      <w:pPr>
        <w:ind w:left="360" w:hanging="360"/>
      </w:pPr>
      <w:rPr>
        <w:rFonts w:hint="default"/>
      </w:rPr>
    </w:lvl>
  </w:abstractNum>
  <w:abstractNum w:abstractNumId="6" w15:restartNumberingAfterBreak="0">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8726896"/>
    <w:multiLevelType w:val="hybridMultilevel"/>
    <w:tmpl w:val="56E88B72"/>
    <w:lvl w:ilvl="0" w:tplc="E74A8D62">
      <w:start w:val="2"/>
      <w:numFmt w:val="decimal"/>
      <w:lvlText w:val="%1."/>
      <w:lvlJc w:val="left"/>
      <w:pPr>
        <w:tabs>
          <w:tab w:val="num" w:pos="645"/>
        </w:tabs>
        <w:ind w:left="645" w:hanging="645"/>
      </w:pPr>
      <w:rPr>
        <w:rFonts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2C4CDE"/>
    <w:multiLevelType w:val="singleLevel"/>
    <w:tmpl w:val="61C09E9C"/>
    <w:lvl w:ilvl="0">
      <w:start w:val="1"/>
      <w:numFmt w:val="decimal"/>
      <w:lvlText w:val="%1."/>
      <w:lvlJc w:val="left"/>
      <w:pPr>
        <w:tabs>
          <w:tab w:val="num" w:pos="645"/>
        </w:tabs>
        <w:ind w:left="645" w:hanging="645"/>
      </w:pPr>
      <w:rPr>
        <w:rFonts w:hint="default"/>
        <w:color w:val="auto"/>
        <w:sz w:val="22"/>
        <w:szCs w:val="22"/>
      </w:rPr>
    </w:lvl>
  </w:abstractNum>
  <w:abstractNum w:abstractNumId="9" w15:restartNumberingAfterBreak="0">
    <w:nsid w:val="3A452952"/>
    <w:multiLevelType w:val="hybridMultilevel"/>
    <w:tmpl w:val="52D8A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F82BDD"/>
    <w:multiLevelType w:val="singleLevel"/>
    <w:tmpl w:val="93744AFC"/>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9271263"/>
    <w:multiLevelType w:val="hybridMultilevel"/>
    <w:tmpl w:val="5232E2E4"/>
    <w:lvl w:ilvl="0" w:tplc="3530F9D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B507494"/>
    <w:multiLevelType w:val="hybridMultilevel"/>
    <w:tmpl w:val="4928D9F4"/>
    <w:lvl w:ilvl="0" w:tplc="FE7804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D039A0"/>
    <w:multiLevelType w:val="hybridMultilevel"/>
    <w:tmpl w:val="4E266E9C"/>
    <w:lvl w:ilvl="0" w:tplc="7AA808C8">
      <w:start w:val="2"/>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15" w15:restartNumberingAfterBreak="0">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6" w15:restartNumberingAfterBreak="0">
    <w:nsid w:val="4F1479CB"/>
    <w:multiLevelType w:val="multilevel"/>
    <w:tmpl w:val="56BCFBEC"/>
    <w:lvl w:ilvl="0">
      <w:start w:val="1"/>
      <w:numFmt w:val="decimal"/>
      <w:lvlText w:val="%1."/>
      <w:legacy w:legacy="1" w:legacySpace="0" w:legacyIndent="360"/>
      <w:lvlJc w:val="left"/>
      <w:pPr>
        <w:ind w:left="360" w:hanging="360"/>
      </w:pPr>
      <w:rPr>
        <w:b w:val="0"/>
        <w:i w:val="0"/>
        <w:color w:val="auto"/>
      </w:rPr>
    </w:lvl>
    <w:lvl w:ilvl="1" w:tentative="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7" w15:restartNumberingAfterBreak="0">
    <w:nsid w:val="50384069"/>
    <w:multiLevelType w:val="hybridMultilevel"/>
    <w:tmpl w:val="7900627C"/>
    <w:lvl w:ilvl="0" w:tplc="CEB810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437FDD"/>
    <w:multiLevelType w:val="hybridMultilevel"/>
    <w:tmpl w:val="2292AD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7F29BF"/>
    <w:multiLevelType w:val="singleLevel"/>
    <w:tmpl w:val="0405000F"/>
    <w:lvl w:ilvl="0">
      <w:start w:val="1"/>
      <w:numFmt w:val="decimal"/>
      <w:lvlText w:val="%1."/>
      <w:lvlJc w:val="left"/>
      <w:pPr>
        <w:tabs>
          <w:tab w:val="num" w:pos="360"/>
        </w:tabs>
        <w:ind w:left="360" w:hanging="360"/>
      </w:pPr>
      <w:rPr>
        <w:rFonts w:hint="default"/>
      </w:rPr>
    </w:lvl>
  </w:abstractNum>
  <w:abstractNum w:abstractNumId="20" w15:restartNumberingAfterBreak="0">
    <w:nsid w:val="5DAB3234"/>
    <w:multiLevelType w:val="hybridMultilevel"/>
    <w:tmpl w:val="52D8A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680AEE"/>
    <w:multiLevelType w:val="hybridMultilevel"/>
    <w:tmpl w:val="E2207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23" w15:restartNumberingAfterBreak="0">
    <w:nsid w:val="6552509A"/>
    <w:multiLevelType w:val="hybridMultilevel"/>
    <w:tmpl w:val="6B0E68B6"/>
    <w:lvl w:ilvl="0" w:tplc="6B529C70">
      <w:numFmt w:val="bullet"/>
      <w:lvlText w:val="-"/>
      <w:lvlJc w:val="left"/>
      <w:pPr>
        <w:ind w:left="717" w:hanging="360"/>
      </w:pPr>
      <w:rPr>
        <w:rFonts w:ascii="Times New Roman" w:eastAsia="Times New Roman" w:hAnsi="Times New Roman" w:cs="Times New Roman"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4" w15:restartNumberingAfterBreak="0">
    <w:nsid w:val="656E6C1C"/>
    <w:multiLevelType w:val="hybridMultilevel"/>
    <w:tmpl w:val="46581B7E"/>
    <w:lvl w:ilvl="0" w:tplc="368044E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26" w15:restartNumberingAfterBreak="0">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FD5625"/>
    <w:multiLevelType w:val="hybridMultilevel"/>
    <w:tmpl w:val="6B283BF4"/>
    <w:lvl w:ilvl="0" w:tplc="9BCEC5C4">
      <w:start w:val="2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747F7E3F"/>
    <w:multiLevelType w:val="hybridMultilevel"/>
    <w:tmpl w:val="DE62D3E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5D4135A"/>
    <w:multiLevelType w:val="hybridMultilevel"/>
    <w:tmpl w:val="BE4E307C"/>
    <w:lvl w:ilvl="0" w:tplc="525AD6AC">
      <w:start w:val="1"/>
      <w:numFmt w:val="decimal"/>
      <w:lvlText w:val="%1."/>
      <w:lvlJc w:val="left"/>
      <w:pPr>
        <w:tabs>
          <w:tab w:val="num" w:pos="645"/>
        </w:tabs>
        <w:ind w:left="645" w:hanging="645"/>
      </w:pPr>
      <w:rPr>
        <w:rFonts w:ascii="Times New Roman" w:hAnsi="Times New Roman" w:cs="Times New Roman"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B36529"/>
    <w:multiLevelType w:val="hybridMultilevel"/>
    <w:tmpl w:val="E47AC9F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7"/>
  </w:num>
  <w:num w:numId="4">
    <w:abstractNumId w:val="20"/>
  </w:num>
  <w:num w:numId="5">
    <w:abstractNumId w:val="21"/>
  </w:num>
  <w:num w:numId="6">
    <w:abstractNumId w:val="13"/>
  </w:num>
  <w:num w:numId="7">
    <w:abstractNumId w:val="2"/>
  </w:num>
  <w:num w:numId="8">
    <w:abstractNumId w:val="28"/>
  </w:num>
  <w:num w:numId="9">
    <w:abstractNumId w:val="5"/>
  </w:num>
  <w:num w:numId="10">
    <w:abstractNumId w:val="1"/>
  </w:num>
  <w:num w:numId="11">
    <w:abstractNumId w:val="16"/>
  </w:num>
  <w:num w:numId="12">
    <w:abstractNumId w:val="14"/>
  </w:num>
  <w:num w:numId="13">
    <w:abstractNumId w:val="10"/>
  </w:num>
  <w:num w:numId="14">
    <w:abstractNumId w:val="25"/>
  </w:num>
  <w:num w:numId="15">
    <w:abstractNumId w:val="22"/>
  </w:num>
  <w:num w:numId="16">
    <w:abstractNumId w:val="19"/>
  </w:num>
  <w:num w:numId="17">
    <w:abstractNumId w:val="15"/>
  </w:num>
  <w:num w:numId="18">
    <w:abstractNumId w:val="8"/>
  </w:num>
  <w:num w:numId="19">
    <w:abstractNumId w:val="6"/>
  </w:num>
  <w:num w:numId="20">
    <w:abstractNumId w:val="31"/>
  </w:num>
  <w:num w:numId="21">
    <w:abstractNumId w:val="26"/>
  </w:num>
  <w:num w:numId="22">
    <w:abstractNumId w:val="18"/>
  </w:num>
  <w:num w:numId="23">
    <w:abstractNumId w:val="7"/>
  </w:num>
  <w:num w:numId="24">
    <w:abstractNumId w:val="23"/>
  </w:num>
  <w:num w:numId="25">
    <w:abstractNumId w:val="4"/>
  </w:num>
  <w:num w:numId="26">
    <w:abstractNumId w:val="29"/>
  </w:num>
  <w:num w:numId="27">
    <w:abstractNumId w:val="3"/>
  </w:num>
  <w:num w:numId="28">
    <w:abstractNumId w:val="27"/>
  </w:num>
  <w:num w:numId="29">
    <w:abstractNumId w:val="24"/>
  </w:num>
  <w:num w:numId="30">
    <w:abstractNumId w:val="11"/>
  </w:num>
  <w:num w:numId="31">
    <w:abstractNumId w:val="0"/>
  </w:num>
  <w:num w:numId="3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35B5"/>
    <w:rsid w:val="000049B8"/>
    <w:rsid w:val="00005FF5"/>
    <w:rsid w:val="0001373F"/>
    <w:rsid w:val="00017476"/>
    <w:rsid w:val="00021846"/>
    <w:rsid w:val="0002313E"/>
    <w:rsid w:val="00037325"/>
    <w:rsid w:val="0004432C"/>
    <w:rsid w:val="000461A8"/>
    <w:rsid w:val="00046563"/>
    <w:rsid w:val="00061B71"/>
    <w:rsid w:val="00065509"/>
    <w:rsid w:val="00072D5F"/>
    <w:rsid w:val="00072FEA"/>
    <w:rsid w:val="000774DA"/>
    <w:rsid w:val="00081F00"/>
    <w:rsid w:val="00082220"/>
    <w:rsid w:val="000940BF"/>
    <w:rsid w:val="00096EAC"/>
    <w:rsid w:val="000A2277"/>
    <w:rsid w:val="000A73FE"/>
    <w:rsid w:val="000B1006"/>
    <w:rsid w:val="000B1032"/>
    <w:rsid w:val="000B3AA7"/>
    <w:rsid w:val="000B51A5"/>
    <w:rsid w:val="000B5626"/>
    <w:rsid w:val="000B5A1C"/>
    <w:rsid w:val="000B60A2"/>
    <w:rsid w:val="000B7EBA"/>
    <w:rsid w:val="000C05E3"/>
    <w:rsid w:val="000C33B6"/>
    <w:rsid w:val="000C4027"/>
    <w:rsid w:val="000C40A1"/>
    <w:rsid w:val="000C63DB"/>
    <w:rsid w:val="000C6569"/>
    <w:rsid w:val="000D08CC"/>
    <w:rsid w:val="000D157D"/>
    <w:rsid w:val="000D29A5"/>
    <w:rsid w:val="000D36CE"/>
    <w:rsid w:val="000D6198"/>
    <w:rsid w:val="000D6ACF"/>
    <w:rsid w:val="000D727B"/>
    <w:rsid w:val="000D7652"/>
    <w:rsid w:val="000D783B"/>
    <w:rsid w:val="000D7CDE"/>
    <w:rsid w:val="000E4C34"/>
    <w:rsid w:val="000E7EE7"/>
    <w:rsid w:val="00100A26"/>
    <w:rsid w:val="001045F0"/>
    <w:rsid w:val="00117112"/>
    <w:rsid w:val="001205EA"/>
    <w:rsid w:val="0012120A"/>
    <w:rsid w:val="001233F0"/>
    <w:rsid w:val="001235F2"/>
    <w:rsid w:val="0012590D"/>
    <w:rsid w:val="0012717B"/>
    <w:rsid w:val="0013267A"/>
    <w:rsid w:val="001335B6"/>
    <w:rsid w:val="00134F8D"/>
    <w:rsid w:val="001362E9"/>
    <w:rsid w:val="00137473"/>
    <w:rsid w:val="001401B4"/>
    <w:rsid w:val="00142E6F"/>
    <w:rsid w:val="001458AB"/>
    <w:rsid w:val="00150024"/>
    <w:rsid w:val="001509F9"/>
    <w:rsid w:val="00150B50"/>
    <w:rsid w:val="00153A1E"/>
    <w:rsid w:val="001557E3"/>
    <w:rsid w:val="001559E5"/>
    <w:rsid w:val="00160D2E"/>
    <w:rsid w:val="00161434"/>
    <w:rsid w:val="00163E82"/>
    <w:rsid w:val="001640A6"/>
    <w:rsid w:val="001648E0"/>
    <w:rsid w:val="001664FE"/>
    <w:rsid w:val="0016660C"/>
    <w:rsid w:val="001668EA"/>
    <w:rsid w:val="00167BC5"/>
    <w:rsid w:val="001822FE"/>
    <w:rsid w:val="00183401"/>
    <w:rsid w:val="001865DA"/>
    <w:rsid w:val="0019363F"/>
    <w:rsid w:val="001939C8"/>
    <w:rsid w:val="001957AD"/>
    <w:rsid w:val="00196276"/>
    <w:rsid w:val="00196279"/>
    <w:rsid w:val="0019717B"/>
    <w:rsid w:val="001977BF"/>
    <w:rsid w:val="001A0D81"/>
    <w:rsid w:val="001A381B"/>
    <w:rsid w:val="001A612C"/>
    <w:rsid w:val="001A6F78"/>
    <w:rsid w:val="001B0CCB"/>
    <w:rsid w:val="001B2461"/>
    <w:rsid w:val="001B2BDB"/>
    <w:rsid w:val="001C1124"/>
    <w:rsid w:val="001C1414"/>
    <w:rsid w:val="001C39BD"/>
    <w:rsid w:val="001C65CE"/>
    <w:rsid w:val="001C77F1"/>
    <w:rsid w:val="001D2490"/>
    <w:rsid w:val="001D495A"/>
    <w:rsid w:val="001D4ABA"/>
    <w:rsid w:val="001D56C7"/>
    <w:rsid w:val="001D59C9"/>
    <w:rsid w:val="001D6CE7"/>
    <w:rsid w:val="001E245E"/>
    <w:rsid w:val="001E2C6F"/>
    <w:rsid w:val="001E4E23"/>
    <w:rsid w:val="001E50B5"/>
    <w:rsid w:val="001E6A18"/>
    <w:rsid w:val="001E6BBA"/>
    <w:rsid w:val="001F1341"/>
    <w:rsid w:val="001F2786"/>
    <w:rsid w:val="001F7AE6"/>
    <w:rsid w:val="00202B72"/>
    <w:rsid w:val="00204298"/>
    <w:rsid w:val="00204BCF"/>
    <w:rsid w:val="002106F8"/>
    <w:rsid w:val="00213001"/>
    <w:rsid w:val="00234B4B"/>
    <w:rsid w:val="00236FD4"/>
    <w:rsid w:val="00244B64"/>
    <w:rsid w:val="0024574C"/>
    <w:rsid w:val="00245841"/>
    <w:rsid w:val="00250140"/>
    <w:rsid w:val="002563EF"/>
    <w:rsid w:val="002623EC"/>
    <w:rsid w:val="00264296"/>
    <w:rsid w:val="002652AC"/>
    <w:rsid w:val="002730DC"/>
    <w:rsid w:val="0027402C"/>
    <w:rsid w:val="00274FC6"/>
    <w:rsid w:val="00281D52"/>
    <w:rsid w:val="00284CB3"/>
    <w:rsid w:val="00285A28"/>
    <w:rsid w:val="00286F5D"/>
    <w:rsid w:val="002875A2"/>
    <w:rsid w:val="00292B12"/>
    <w:rsid w:val="002971A4"/>
    <w:rsid w:val="00297BB4"/>
    <w:rsid w:val="002A5B4F"/>
    <w:rsid w:val="002A7199"/>
    <w:rsid w:val="002B2584"/>
    <w:rsid w:val="002B2CC4"/>
    <w:rsid w:val="002B666E"/>
    <w:rsid w:val="002B76A2"/>
    <w:rsid w:val="002C0192"/>
    <w:rsid w:val="002C191D"/>
    <w:rsid w:val="002C37BC"/>
    <w:rsid w:val="002C4BD8"/>
    <w:rsid w:val="002D29C0"/>
    <w:rsid w:val="002E441F"/>
    <w:rsid w:val="002F33E8"/>
    <w:rsid w:val="002F3457"/>
    <w:rsid w:val="003074FB"/>
    <w:rsid w:val="0033417B"/>
    <w:rsid w:val="0034685B"/>
    <w:rsid w:val="00347C0D"/>
    <w:rsid w:val="00350993"/>
    <w:rsid w:val="00350BEB"/>
    <w:rsid w:val="003541B9"/>
    <w:rsid w:val="00354CAE"/>
    <w:rsid w:val="00357AFD"/>
    <w:rsid w:val="00360FCF"/>
    <w:rsid w:val="0036200C"/>
    <w:rsid w:val="00362F9B"/>
    <w:rsid w:val="00364D83"/>
    <w:rsid w:val="003700BA"/>
    <w:rsid w:val="003746EB"/>
    <w:rsid w:val="00375CDF"/>
    <w:rsid w:val="00376AEC"/>
    <w:rsid w:val="0038055D"/>
    <w:rsid w:val="003808DD"/>
    <w:rsid w:val="00382CAF"/>
    <w:rsid w:val="00393A85"/>
    <w:rsid w:val="00395364"/>
    <w:rsid w:val="00395A55"/>
    <w:rsid w:val="003B6094"/>
    <w:rsid w:val="003C0211"/>
    <w:rsid w:val="003C61FD"/>
    <w:rsid w:val="003C73B9"/>
    <w:rsid w:val="003D18AD"/>
    <w:rsid w:val="003D4115"/>
    <w:rsid w:val="003D4214"/>
    <w:rsid w:val="003D7ABD"/>
    <w:rsid w:val="003E4455"/>
    <w:rsid w:val="003E51C9"/>
    <w:rsid w:val="003E5E5C"/>
    <w:rsid w:val="003E6816"/>
    <w:rsid w:val="003F2EC3"/>
    <w:rsid w:val="0040043D"/>
    <w:rsid w:val="00404F71"/>
    <w:rsid w:val="00413976"/>
    <w:rsid w:val="00414DA0"/>
    <w:rsid w:val="00423569"/>
    <w:rsid w:val="004264AF"/>
    <w:rsid w:val="0042683F"/>
    <w:rsid w:val="00427CAF"/>
    <w:rsid w:val="00431241"/>
    <w:rsid w:val="0043195A"/>
    <w:rsid w:val="004327C3"/>
    <w:rsid w:val="00434DCE"/>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807B5"/>
    <w:rsid w:val="00490073"/>
    <w:rsid w:val="00491458"/>
    <w:rsid w:val="0049506E"/>
    <w:rsid w:val="004A08BB"/>
    <w:rsid w:val="004A70BD"/>
    <w:rsid w:val="004B0DE3"/>
    <w:rsid w:val="004B1B38"/>
    <w:rsid w:val="004B71ED"/>
    <w:rsid w:val="004B797A"/>
    <w:rsid w:val="004D177E"/>
    <w:rsid w:val="004D4BE0"/>
    <w:rsid w:val="004D7526"/>
    <w:rsid w:val="004E0BDC"/>
    <w:rsid w:val="004E1B46"/>
    <w:rsid w:val="004E4F4B"/>
    <w:rsid w:val="004E5A72"/>
    <w:rsid w:val="00500E98"/>
    <w:rsid w:val="00501C9F"/>
    <w:rsid w:val="00504426"/>
    <w:rsid w:val="005053D9"/>
    <w:rsid w:val="0050637B"/>
    <w:rsid w:val="0051078C"/>
    <w:rsid w:val="00521B0A"/>
    <w:rsid w:val="00527154"/>
    <w:rsid w:val="005272E8"/>
    <w:rsid w:val="0053363B"/>
    <w:rsid w:val="0053449E"/>
    <w:rsid w:val="00537970"/>
    <w:rsid w:val="00541B93"/>
    <w:rsid w:val="005420D5"/>
    <w:rsid w:val="005423AC"/>
    <w:rsid w:val="00546843"/>
    <w:rsid w:val="005513C7"/>
    <w:rsid w:val="00556778"/>
    <w:rsid w:val="00563ECE"/>
    <w:rsid w:val="00564E6B"/>
    <w:rsid w:val="00570972"/>
    <w:rsid w:val="00582691"/>
    <w:rsid w:val="00582C6A"/>
    <w:rsid w:val="00583355"/>
    <w:rsid w:val="00584F91"/>
    <w:rsid w:val="0059534C"/>
    <w:rsid w:val="005971D6"/>
    <w:rsid w:val="00597BE0"/>
    <w:rsid w:val="00597C44"/>
    <w:rsid w:val="005A0A7C"/>
    <w:rsid w:val="005A46B6"/>
    <w:rsid w:val="005A59BB"/>
    <w:rsid w:val="005A7000"/>
    <w:rsid w:val="005B1243"/>
    <w:rsid w:val="005B4BB4"/>
    <w:rsid w:val="005D4618"/>
    <w:rsid w:val="005E06A8"/>
    <w:rsid w:val="005E1B64"/>
    <w:rsid w:val="005E2D1F"/>
    <w:rsid w:val="005E2DC1"/>
    <w:rsid w:val="005E6F69"/>
    <w:rsid w:val="005F1B0D"/>
    <w:rsid w:val="005F2BEE"/>
    <w:rsid w:val="005F324E"/>
    <w:rsid w:val="00600780"/>
    <w:rsid w:val="00603EA6"/>
    <w:rsid w:val="00615715"/>
    <w:rsid w:val="00617470"/>
    <w:rsid w:val="00617492"/>
    <w:rsid w:val="0063058A"/>
    <w:rsid w:val="0063406E"/>
    <w:rsid w:val="006348AD"/>
    <w:rsid w:val="0063501F"/>
    <w:rsid w:val="00635106"/>
    <w:rsid w:val="00635192"/>
    <w:rsid w:val="00642540"/>
    <w:rsid w:val="00644216"/>
    <w:rsid w:val="006448CA"/>
    <w:rsid w:val="00644E7C"/>
    <w:rsid w:val="0065331D"/>
    <w:rsid w:val="006556CB"/>
    <w:rsid w:val="00655F37"/>
    <w:rsid w:val="00666A71"/>
    <w:rsid w:val="00673F5F"/>
    <w:rsid w:val="00676D7C"/>
    <w:rsid w:val="00676F16"/>
    <w:rsid w:val="0068536C"/>
    <w:rsid w:val="00690806"/>
    <w:rsid w:val="0069459A"/>
    <w:rsid w:val="0069580F"/>
    <w:rsid w:val="006A461B"/>
    <w:rsid w:val="006B0EE6"/>
    <w:rsid w:val="006B3269"/>
    <w:rsid w:val="006B3381"/>
    <w:rsid w:val="006B5093"/>
    <w:rsid w:val="006C0AFE"/>
    <w:rsid w:val="006C2FCA"/>
    <w:rsid w:val="006C3639"/>
    <w:rsid w:val="006C6D83"/>
    <w:rsid w:val="006D7328"/>
    <w:rsid w:val="006E2AEE"/>
    <w:rsid w:val="006E5699"/>
    <w:rsid w:val="006E772C"/>
    <w:rsid w:val="006F60F1"/>
    <w:rsid w:val="00710CAD"/>
    <w:rsid w:val="007125D4"/>
    <w:rsid w:val="007178DC"/>
    <w:rsid w:val="00722582"/>
    <w:rsid w:val="007234FD"/>
    <w:rsid w:val="00724725"/>
    <w:rsid w:val="00725425"/>
    <w:rsid w:val="00727C1D"/>
    <w:rsid w:val="007307FB"/>
    <w:rsid w:val="007366AF"/>
    <w:rsid w:val="007401B9"/>
    <w:rsid w:val="00741E8B"/>
    <w:rsid w:val="00757685"/>
    <w:rsid w:val="007621E1"/>
    <w:rsid w:val="007623C6"/>
    <w:rsid w:val="00776857"/>
    <w:rsid w:val="007803AD"/>
    <w:rsid w:val="007832AA"/>
    <w:rsid w:val="0079011C"/>
    <w:rsid w:val="007906AD"/>
    <w:rsid w:val="00796497"/>
    <w:rsid w:val="007964E2"/>
    <w:rsid w:val="00797CEA"/>
    <w:rsid w:val="007A039F"/>
    <w:rsid w:val="007A5F4B"/>
    <w:rsid w:val="007B1CD5"/>
    <w:rsid w:val="007C3A49"/>
    <w:rsid w:val="007C63BB"/>
    <w:rsid w:val="007D2DA1"/>
    <w:rsid w:val="007D406A"/>
    <w:rsid w:val="007D526D"/>
    <w:rsid w:val="007D76DF"/>
    <w:rsid w:val="007E0739"/>
    <w:rsid w:val="007E0E54"/>
    <w:rsid w:val="007E1566"/>
    <w:rsid w:val="007E2FF1"/>
    <w:rsid w:val="007E32B8"/>
    <w:rsid w:val="007F1C72"/>
    <w:rsid w:val="007F1CB1"/>
    <w:rsid w:val="007F1D75"/>
    <w:rsid w:val="007F2D29"/>
    <w:rsid w:val="007F5274"/>
    <w:rsid w:val="00804727"/>
    <w:rsid w:val="00807414"/>
    <w:rsid w:val="00810A67"/>
    <w:rsid w:val="008125CF"/>
    <w:rsid w:val="0081473D"/>
    <w:rsid w:val="00822D80"/>
    <w:rsid w:val="00832AFF"/>
    <w:rsid w:val="008358D7"/>
    <w:rsid w:val="00844E83"/>
    <w:rsid w:val="0084537E"/>
    <w:rsid w:val="008475D3"/>
    <w:rsid w:val="0085445A"/>
    <w:rsid w:val="0085765A"/>
    <w:rsid w:val="0086497F"/>
    <w:rsid w:val="00866A8B"/>
    <w:rsid w:val="00872348"/>
    <w:rsid w:val="00885D07"/>
    <w:rsid w:val="008869AE"/>
    <w:rsid w:val="0089741F"/>
    <w:rsid w:val="00897FB0"/>
    <w:rsid w:val="008A0DAF"/>
    <w:rsid w:val="008A4919"/>
    <w:rsid w:val="008A5225"/>
    <w:rsid w:val="008A5236"/>
    <w:rsid w:val="008A52D1"/>
    <w:rsid w:val="008A7112"/>
    <w:rsid w:val="008B4A62"/>
    <w:rsid w:val="008C03AE"/>
    <w:rsid w:val="008C1A58"/>
    <w:rsid w:val="008D31BA"/>
    <w:rsid w:val="008E2B18"/>
    <w:rsid w:val="008E2B52"/>
    <w:rsid w:val="008E3565"/>
    <w:rsid w:val="008E53AC"/>
    <w:rsid w:val="008F23D1"/>
    <w:rsid w:val="008F3F8E"/>
    <w:rsid w:val="00900870"/>
    <w:rsid w:val="009073B2"/>
    <w:rsid w:val="009142BB"/>
    <w:rsid w:val="00914A32"/>
    <w:rsid w:val="00914B4E"/>
    <w:rsid w:val="00916B74"/>
    <w:rsid w:val="00916C5B"/>
    <w:rsid w:val="00917351"/>
    <w:rsid w:val="00917B9A"/>
    <w:rsid w:val="00921417"/>
    <w:rsid w:val="00922333"/>
    <w:rsid w:val="00926802"/>
    <w:rsid w:val="009367D2"/>
    <w:rsid w:val="00940AF6"/>
    <w:rsid w:val="009421AA"/>
    <w:rsid w:val="00942A37"/>
    <w:rsid w:val="00942A3E"/>
    <w:rsid w:val="0094375A"/>
    <w:rsid w:val="0094517F"/>
    <w:rsid w:val="00951723"/>
    <w:rsid w:val="00951EBD"/>
    <w:rsid w:val="009554C8"/>
    <w:rsid w:val="00956011"/>
    <w:rsid w:val="009606AB"/>
    <w:rsid w:val="00960F5A"/>
    <w:rsid w:val="00965DD4"/>
    <w:rsid w:val="00977214"/>
    <w:rsid w:val="00977751"/>
    <w:rsid w:val="00977A21"/>
    <w:rsid w:val="00997171"/>
    <w:rsid w:val="009A2FD9"/>
    <w:rsid w:val="009A2FF9"/>
    <w:rsid w:val="009A3BFB"/>
    <w:rsid w:val="009B1D22"/>
    <w:rsid w:val="009B2681"/>
    <w:rsid w:val="009C06C1"/>
    <w:rsid w:val="009C4FF2"/>
    <w:rsid w:val="009D1A86"/>
    <w:rsid w:val="009D6A74"/>
    <w:rsid w:val="009D6D2D"/>
    <w:rsid w:val="009D70FA"/>
    <w:rsid w:val="009E172D"/>
    <w:rsid w:val="009E23D7"/>
    <w:rsid w:val="009E34AB"/>
    <w:rsid w:val="009E565A"/>
    <w:rsid w:val="009E691B"/>
    <w:rsid w:val="009F3D54"/>
    <w:rsid w:val="009F4C5A"/>
    <w:rsid w:val="009F5A8E"/>
    <w:rsid w:val="009F7C29"/>
    <w:rsid w:val="00A04D4D"/>
    <w:rsid w:val="00A05AD5"/>
    <w:rsid w:val="00A116AA"/>
    <w:rsid w:val="00A136DA"/>
    <w:rsid w:val="00A17E43"/>
    <w:rsid w:val="00A2035D"/>
    <w:rsid w:val="00A23084"/>
    <w:rsid w:val="00A237DC"/>
    <w:rsid w:val="00A3185E"/>
    <w:rsid w:val="00A32D38"/>
    <w:rsid w:val="00A40197"/>
    <w:rsid w:val="00A408AE"/>
    <w:rsid w:val="00A43088"/>
    <w:rsid w:val="00A43E1E"/>
    <w:rsid w:val="00A56953"/>
    <w:rsid w:val="00A609DC"/>
    <w:rsid w:val="00A6115E"/>
    <w:rsid w:val="00A6378A"/>
    <w:rsid w:val="00A645A0"/>
    <w:rsid w:val="00A66A63"/>
    <w:rsid w:val="00A70A29"/>
    <w:rsid w:val="00A73233"/>
    <w:rsid w:val="00A73961"/>
    <w:rsid w:val="00A75BE1"/>
    <w:rsid w:val="00A76FE0"/>
    <w:rsid w:val="00A80C61"/>
    <w:rsid w:val="00A81E89"/>
    <w:rsid w:val="00A87BB5"/>
    <w:rsid w:val="00A90B01"/>
    <w:rsid w:val="00A92D2F"/>
    <w:rsid w:val="00A947B1"/>
    <w:rsid w:val="00A94A44"/>
    <w:rsid w:val="00A95291"/>
    <w:rsid w:val="00A9604E"/>
    <w:rsid w:val="00AA1639"/>
    <w:rsid w:val="00AA2342"/>
    <w:rsid w:val="00AA3306"/>
    <w:rsid w:val="00AA6536"/>
    <w:rsid w:val="00AB7743"/>
    <w:rsid w:val="00AC3655"/>
    <w:rsid w:val="00AC3AA4"/>
    <w:rsid w:val="00AD12D0"/>
    <w:rsid w:val="00AD2CB7"/>
    <w:rsid w:val="00AD4411"/>
    <w:rsid w:val="00AD7ABD"/>
    <w:rsid w:val="00AE4EE1"/>
    <w:rsid w:val="00AE5624"/>
    <w:rsid w:val="00AE5A09"/>
    <w:rsid w:val="00AF5232"/>
    <w:rsid w:val="00AF7D9F"/>
    <w:rsid w:val="00B03D3C"/>
    <w:rsid w:val="00B10870"/>
    <w:rsid w:val="00B15D32"/>
    <w:rsid w:val="00B16CE6"/>
    <w:rsid w:val="00B17D7C"/>
    <w:rsid w:val="00B20092"/>
    <w:rsid w:val="00B25A62"/>
    <w:rsid w:val="00B30981"/>
    <w:rsid w:val="00B312E3"/>
    <w:rsid w:val="00B35D32"/>
    <w:rsid w:val="00B40A0A"/>
    <w:rsid w:val="00B60F3F"/>
    <w:rsid w:val="00B62239"/>
    <w:rsid w:val="00B652DA"/>
    <w:rsid w:val="00B673A6"/>
    <w:rsid w:val="00B73E36"/>
    <w:rsid w:val="00B73FBE"/>
    <w:rsid w:val="00B75959"/>
    <w:rsid w:val="00B75E2B"/>
    <w:rsid w:val="00B8533E"/>
    <w:rsid w:val="00B91F9F"/>
    <w:rsid w:val="00B92A9B"/>
    <w:rsid w:val="00B945DB"/>
    <w:rsid w:val="00B948A1"/>
    <w:rsid w:val="00B96653"/>
    <w:rsid w:val="00B979D4"/>
    <w:rsid w:val="00BB1134"/>
    <w:rsid w:val="00BB33B2"/>
    <w:rsid w:val="00BB75A0"/>
    <w:rsid w:val="00BC752D"/>
    <w:rsid w:val="00BD3FBF"/>
    <w:rsid w:val="00BE04BE"/>
    <w:rsid w:val="00BE0710"/>
    <w:rsid w:val="00BE1F17"/>
    <w:rsid w:val="00BE75AA"/>
    <w:rsid w:val="00BF1984"/>
    <w:rsid w:val="00BF7B34"/>
    <w:rsid w:val="00C008B4"/>
    <w:rsid w:val="00C02750"/>
    <w:rsid w:val="00C04D5E"/>
    <w:rsid w:val="00C10925"/>
    <w:rsid w:val="00C14C19"/>
    <w:rsid w:val="00C173D9"/>
    <w:rsid w:val="00C1762A"/>
    <w:rsid w:val="00C26874"/>
    <w:rsid w:val="00C311CA"/>
    <w:rsid w:val="00C358BA"/>
    <w:rsid w:val="00C431DD"/>
    <w:rsid w:val="00C45146"/>
    <w:rsid w:val="00C52E3C"/>
    <w:rsid w:val="00C560D7"/>
    <w:rsid w:val="00C6151D"/>
    <w:rsid w:val="00C62EA1"/>
    <w:rsid w:val="00C65BEE"/>
    <w:rsid w:val="00C663A8"/>
    <w:rsid w:val="00C7026C"/>
    <w:rsid w:val="00C71327"/>
    <w:rsid w:val="00C716E9"/>
    <w:rsid w:val="00C7628E"/>
    <w:rsid w:val="00C76DC4"/>
    <w:rsid w:val="00C82475"/>
    <w:rsid w:val="00C854E0"/>
    <w:rsid w:val="00C85A9B"/>
    <w:rsid w:val="00C9285D"/>
    <w:rsid w:val="00C962D1"/>
    <w:rsid w:val="00CA067F"/>
    <w:rsid w:val="00CB2BEA"/>
    <w:rsid w:val="00CB4B5D"/>
    <w:rsid w:val="00CB4D80"/>
    <w:rsid w:val="00CB780C"/>
    <w:rsid w:val="00CD111F"/>
    <w:rsid w:val="00CD3EBF"/>
    <w:rsid w:val="00CD55CB"/>
    <w:rsid w:val="00CE1E1D"/>
    <w:rsid w:val="00CE5CB6"/>
    <w:rsid w:val="00CE7668"/>
    <w:rsid w:val="00CF2413"/>
    <w:rsid w:val="00CF32DC"/>
    <w:rsid w:val="00CF621A"/>
    <w:rsid w:val="00CF78F9"/>
    <w:rsid w:val="00D0330F"/>
    <w:rsid w:val="00D035A8"/>
    <w:rsid w:val="00D065CC"/>
    <w:rsid w:val="00D075F7"/>
    <w:rsid w:val="00D10F5B"/>
    <w:rsid w:val="00D131A4"/>
    <w:rsid w:val="00D13CB3"/>
    <w:rsid w:val="00D159F4"/>
    <w:rsid w:val="00D16047"/>
    <w:rsid w:val="00D1621E"/>
    <w:rsid w:val="00D16B84"/>
    <w:rsid w:val="00D319D7"/>
    <w:rsid w:val="00D42000"/>
    <w:rsid w:val="00D42840"/>
    <w:rsid w:val="00D44774"/>
    <w:rsid w:val="00D50496"/>
    <w:rsid w:val="00D508DE"/>
    <w:rsid w:val="00D5335C"/>
    <w:rsid w:val="00D57C24"/>
    <w:rsid w:val="00D6518E"/>
    <w:rsid w:val="00D734EC"/>
    <w:rsid w:val="00D75D34"/>
    <w:rsid w:val="00D760CE"/>
    <w:rsid w:val="00D76C82"/>
    <w:rsid w:val="00D84E72"/>
    <w:rsid w:val="00D868A7"/>
    <w:rsid w:val="00D87C87"/>
    <w:rsid w:val="00D90341"/>
    <w:rsid w:val="00D9041C"/>
    <w:rsid w:val="00D9065C"/>
    <w:rsid w:val="00D932F3"/>
    <w:rsid w:val="00D958D0"/>
    <w:rsid w:val="00D96723"/>
    <w:rsid w:val="00DA0A78"/>
    <w:rsid w:val="00DA1012"/>
    <w:rsid w:val="00DA5716"/>
    <w:rsid w:val="00DB1E3D"/>
    <w:rsid w:val="00DB5729"/>
    <w:rsid w:val="00DB5EC8"/>
    <w:rsid w:val="00DD16AA"/>
    <w:rsid w:val="00DD4A68"/>
    <w:rsid w:val="00DE2392"/>
    <w:rsid w:val="00DE2688"/>
    <w:rsid w:val="00DE373A"/>
    <w:rsid w:val="00DF1B0F"/>
    <w:rsid w:val="00E03BBB"/>
    <w:rsid w:val="00E06C9C"/>
    <w:rsid w:val="00E20A9D"/>
    <w:rsid w:val="00E26E18"/>
    <w:rsid w:val="00E27615"/>
    <w:rsid w:val="00E302DF"/>
    <w:rsid w:val="00E44C46"/>
    <w:rsid w:val="00E511AC"/>
    <w:rsid w:val="00E53BC4"/>
    <w:rsid w:val="00E611EF"/>
    <w:rsid w:val="00E62210"/>
    <w:rsid w:val="00E630F3"/>
    <w:rsid w:val="00E6619E"/>
    <w:rsid w:val="00E671C9"/>
    <w:rsid w:val="00E71F23"/>
    <w:rsid w:val="00E7386B"/>
    <w:rsid w:val="00E80C1A"/>
    <w:rsid w:val="00E90AB1"/>
    <w:rsid w:val="00E92218"/>
    <w:rsid w:val="00E970DA"/>
    <w:rsid w:val="00EA1E93"/>
    <w:rsid w:val="00EA2C21"/>
    <w:rsid w:val="00EA6136"/>
    <w:rsid w:val="00EA7C46"/>
    <w:rsid w:val="00EB1080"/>
    <w:rsid w:val="00EB151F"/>
    <w:rsid w:val="00EB2DE7"/>
    <w:rsid w:val="00EB45F4"/>
    <w:rsid w:val="00EB5AA9"/>
    <w:rsid w:val="00EC4A7C"/>
    <w:rsid w:val="00EC4B38"/>
    <w:rsid w:val="00EC6DCB"/>
    <w:rsid w:val="00ED1A51"/>
    <w:rsid w:val="00ED359A"/>
    <w:rsid w:val="00ED6826"/>
    <w:rsid w:val="00EE004F"/>
    <w:rsid w:val="00EE1FB4"/>
    <w:rsid w:val="00EE544B"/>
    <w:rsid w:val="00EE6A22"/>
    <w:rsid w:val="00EF33D3"/>
    <w:rsid w:val="00EF518E"/>
    <w:rsid w:val="00EF59F7"/>
    <w:rsid w:val="00EF5C73"/>
    <w:rsid w:val="00EF5D6F"/>
    <w:rsid w:val="00F01254"/>
    <w:rsid w:val="00F07CF3"/>
    <w:rsid w:val="00F15646"/>
    <w:rsid w:val="00F15991"/>
    <w:rsid w:val="00F169BF"/>
    <w:rsid w:val="00F17385"/>
    <w:rsid w:val="00F175D1"/>
    <w:rsid w:val="00F20A41"/>
    <w:rsid w:val="00F22533"/>
    <w:rsid w:val="00F24695"/>
    <w:rsid w:val="00F25CF5"/>
    <w:rsid w:val="00F26541"/>
    <w:rsid w:val="00F30F61"/>
    <w:rsid w:val="00F34781"/>
    <w:rsid w:val="00F42054"/>
    <w:rsid w:val="00F42507"/>
    <w:rsid w:val="00F45B58"/>
    <w:rsid w:val="00F461B6"/>
    <w:rsid w:val="00F527AE"/>
    <w:rsid w:val="00F550AE"/>
    <w:rsid w:val="00F569AF"/>
    <w:rsid w:val="00F6642B"/>
    <w:rsid w:val="00F71DA3"/>
    <w:rsid w:val="00F82D60"/>
    <w:rsid w:val="00F86296"/>
    <w:rsid w:val="00F90924"/>
    <w:rsid w:val="00F915BC"/>
    <w:rsid w:val="00F92658"/>
    <w:rsid w:val="00F93FF8"/>
    <w:rsid w:val="00F96B97"/>
    <w:rsid w:val="00FA079F"/>
    <w:rsid w:val="00FA450F"/>
    <w:rsid w:val="00FA47FC"/>
    <w:rsid w:val="00FA53DF"/>
    <w:rsid w:val="00FA58DA"/>
    <w:rsid w:val="00FB1BE8"/>
    <w:rsid w:val="00FB5DCE"/>
    <w:rsid w:val="00FB78AE"/>
    <w:rsid w:val="00FC118D"/>
    <w:rsid w:val="00FC1971"/>
    <w:rsid w:val="00FC1A37"/>
    <w:rsid w:val="00FC51A5"/>
    <w:rsid w:val="00FC7173"/>
    <w:rsid w:val="00FD3F5B"/>
    <w:rsid w:val="00FD4B64"/>
    <w:rsid w:val="00FD6B41"/>
    <w:rsid w:val="00FE0458"/>
    <w:rsid w:val="00FE3AB7"/>
    <w:rsid w:val="00FE5A14"/>
    <w:rsid w:val="00FE65DF"/>
    <w:rsid w:val="00FE7BDB"/>
    <w:rsid w:val="00FF07C4"/>
    <w:rsid w:val="00FF1F75"/>
    <w:rsid w:val="00FF2767"/>
    <w:rsid w:val="00FF2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B47BF-95DB-43F6-8758-3C55BC7D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9E23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9E23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qFormat/>
    <w:pPr>
      <w:keepNext/>
      <w:tabs>
        <w:tab w:val="left" w:pos="9072"/>
      </w:tabs>
      <w:jc w:val="both"/>
      <w:outlineLvl w:val="3"/>
    </w:pPr>
    <w:rPr>
      <w:b/>
      <w:sz w:val="32"/>
      <w:szCs w:val="20"/>
    </w:rPr>
  </w:style>
  <w:style w:type="paragraph" w:styleId="Nadpis6">
    <w:name w:val="heading 6"/>
    <w:basedOn w:val="Normln"/>
    <w:next w:val="Normln"/>
    <w:link w:val="Nadpis6Char"/>
    <w:semiHidden/>
    <w:unhideWhenUsed/>
    <w:qFormat/>
    <w:rsid w:val="003808D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styleId="Zkladntextodsazen">
    <w:name w:val="Body Text Indent"/>
    <w:basedOn w:val="Normln"/>
    <w:link w:val="ZkladntextodsazenChar"/>
    <w:rsid w:val="004807B5"/>
    <w:pPr>
      <w:spacing w:after="120"/>
      <w:ind w:left="283"/>
    </w:pPr>
  </w:style>
  <w:style w:type="character" w:customStyle="1" w:styleId="ZkladntextodsazenChar">
    <w:name w:val="Základní text odsazený Char"/>
    <w:basedOn w:val="Standardnpsmoodstavce"/>
    <w:link w:val="Zkladntextodsazen"/>
    <w:rsid w:val="004807B5"/>
    <w:rPr>
      <w:sz w:val="24"/>
      <w:szCs w:val="24"/>
    </w:rPr>
  </w:style>
  <w:style w:type="paragraph" w:customStyle="1" w:styleId="PVZahlavi1">
    <w:name w:val="PVZahlavi1"/>
    <w:basedOn w:val="Normln"/>
    <w:rsid w:val="00F86296"/>
    <w:rPr>
      <w:rFonts w:ascii="Futura Lt AT" w:hAnsi="Futura Lt AT"/>
      <w:caps/>
      <w:sz w:val="32"/>
    </w:rPr>
  </w:style>
  <w:style w:type="paragraph" w:customStyle="1" w:styleId="PVZahlavi2">
    <w:name w:val="PVZahlavi2"/>
    <w:basedOn w:val="PVZahlavi1"/>
    <w:rsid w:val="00F86296"/>
    <w:pPr>
      <w:spacing w:line="240" w:lineRule="exact"/>
    </w:pPr>
    <w:rPr>
      <w:sz w:val="16"/>
    </w:rPr>
  </w:style>
  <w:style w:type="paragraph" w:customStyle="1" w:styleId="PVSSL">
    <w:name w:val="PVSSL"/>
    <w:basedOn w:val="Normln"/>
    <w:rsid w:val="00F86296"/>
    <w:rPr>
      <w:rFonts w:ascii="Arial" w:hAnsi="Arial" w:cs="Arial"/>
      <w:b/>
      <w:sz w:val="16"/>
    </w:rPr>
  </w:style>
  <w:style w:type="character" w:customStyle="1" w:styleId="Nadpis1Char">
    <w:name w:val="Nadpis 1 Char"/>
    <w:basedOn w:val="Standardnpsmoodstavce"/>
    <w:link w:val="Nadpis1"/>
    <w:rsid w:val="009E23D7"/>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semiHidden/>
    <w:rsid w:val="009E23D7"/>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nhideWhenUsed/>
    <w:rsid w:val="009E23D7"/>
    <w:rPr>
      <w:color w:val="0000FF" w:themeColor="hyperlink"/>
      <w:u w:val="single"/>
    </w:rPr>
  </w:style>
  <w:style w:type="table" w:styleId="Svtlmkatabulky">
    <w:name w:val="Grid Table Light"/>
    <w:basedOn w:val="Normlntabulka"/>
    <w:uiPriority w:val="40"/>
    <w:rsid w:val="00655F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6Char">
    <w:name w:val="Nadpis 6 Char"/>
    <w:basedOn w:val="Standardnpsmoodstavce"/>
    <w:link w:val="Nadpis6"/>
    <w:semiHidden/>
    <w:rsid w:val="003808DD"/>
    <w:rPr>
      <w:rFonts w:asciiTheme="majorHAnsi" w:eastAsiaTheme="majorEastAsia" w:hAnsiTheme="majorHAnsi" w:cstheme="majorBidi"/>
      <w:color w:val="243F60" w:themeColor="accent1" w:themeShade="7F"/>
      <w:sz w:val="24"/>
      <w:szCs w:val="24"/>
    </w:rPr>
  </w:style>
  <w:style w:type="paragraph" w:styleId="Zkladntextodsazen2">
    <w:name w:val="Body Text Indent 2"/>
    <w:basedOn w:val="Normln"/>
    <w:link w:val="Zkladntextodsazen2Char"/>
    <w:unhideWhenUsed/>
    <w:rsid w:val="003808DD"/>
    <w:pPr>
      <w:spacing w:after="120" w:line="480" w:lineRule="auto"/>
      <w:ind w:left="283"/>
    </w:pPr>
  </w:style>
  <w:style w:type="character" w:customStyle="1" w:styleId="Zkladntextodsazen2Char">
    <w:name w:val="Základní text odsazený 2 Char"/>
    <w:basedOn w:val="Standardnpsmoodstavce"/>
    <w:link w:val="Zkladntextodsazen2"/>
    <w:rsid w:val="003808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067609044">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75988966">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52699917">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573198797">
      <w:bodyDiv w:val="1"/>
      <w:marLeft w:val="0"/>
      <w:marRight w:val="0"/>
      <w:marTop w:val="0"/>
      <w:marBottom w:val="0"/>
      <w:divBdr>
        <w:top w:val="none" w:sz="0" w:space="0" w:color="auto"/>
        <w:left w:val="none" w:sz="0" w:space="0" w:color="auto"/>
        <w:bottom w:val="none" w:sz="0" w:space="0" w:color="auto"/>
        <w:right w:val="none" w:sz="0" w:space="0" w:color="auto"/>
      </w:divBdr>
      <w:divsChild>
        <w:div w:id="974024788">
          <w:marLeft w:val="0"/>
          <w:marRight w:val="0"/>
          <w:marTop w:val="0"/>
          <w:marBottom w:val="0"/>
          <w:divBdr>
            <w:top w:val="none" w:sz="0" w:space="0" w:color="auto"/>
            <w:left w:val="none" w:sz="0" w:space="0" w:color="auto"/>
            <w:bottom w:val="none" w:sz="0" w:space="0" w:color="auto"/>
            <w:right w:val="none" w:sz="0" w:space="0" w:color="auto"/>
          </w:divBdr>
          <w:divsChild>
            <w:div w:id="449085237">
              <w:marLeft w:val="0"/>
              <w:marRight w:val="0"/>
              <w:marTop w:val="0"/>
              <w:marBottom w:val="0"/>
              <w:divBdr>
                <w:top w:val="none" w:sz="0" w:space="0" w:color="auto"/>
                <w:left w:val="none" w:sz="0" w:space="0" w:color="auto"/>
                <w:bottom w:val="none" w:sz="0" w:space="0" w:color="auto"/>
                <w:right w:val="none" w:sz="0" w:space="0" w:color="auto"/>
              </w:divBdr>
              <w:divsChild>
                <w:div w:id="1138649826">
                  <w:marLeft w:val="0"/>
                  <w:marRight w:val="0"/>
                  <w:marTop w:val="0"/>
                  <w:marBottom w:val="0"/>
                  <w:divBdr>
                    <w:top w:val="none" w:sz="0" w:space="0" w:color="auto"/>
                    <w:left w:val="none" w:sz="0" w:space="0" w:color="auto"/>
                    <w:bottom w:val="none" w:sz="0" w:space="0" w:color="auto"/>
                    <w:right w:val="none" w:sz="0" w:space="0" w:color="auto"/>
                  </w:divBdr>
                  <w:divsChild>
                    <w:div w:id="298803986">
                      <w:marLeft w:val="0"/>
                      <w:marRight w:val="0"/>
                      <w:marTop w:val="0"/>
                      <w:marBottom w:val="0"/>
                      <w:divBdr>
                        <w:top w:val="none" w:sz="0" w:space="0" w:color="auto"/>
                        <w:left w:val="none" w:sz="0" w:space="0" w:color="auto"/>
                        <w:bottom w:val="none" w:sz="0" w:space="0" w:color="auto"/>
                        <w:right w:val="none" w:sz="0" w:space="0" w:color="auto"/>
                      </w:divBdr>
                      <w:divsChild>
                        <w:div w:id="1834106134">
                          <w:marLeft w:val="0"/>
                          <w:marRight w:val="0"/>
                          <w:marTop w:val="0"/>
                          <w:marBottom w:val="0"/>
                          <w:divBdr>
                            <w:top w:val="none" w:sz="0" w:space="0" w:color="auto"/>
                            <w:left w:val="none" w:sz="0" w:space="0" w:color="auto"/>
                            <w:bottom w:val="none" w:sz="0" w:space="0" w:color="auto"/>
                            <w:right w:val="none" w:sz="0" w:space="0" w:color="auto"/>
                          </w:divBdr>
                          <w:divsChild>
                            <w:div w:id="1334067991">
                              <w:marLeft w:val="0"/>
                              <w:marRight w:val="0"/>
                              <w:marTop w:val="0"/>
                              <w:marBottom w:val="0"/>
                              <w:divBdr>
                                <w:top w:val="none" w:sz="0" w:space="0" w:color="auto"/>
                                <w:left w:val="none" w:sz="0" w:space="0" w:color="auto"/>
                                <w:bottom w:val="none" w:sz="0" w:space="0" w:color="auto"/>
                                <w:right w:val="none" w:sz="0" w:space="0" w:color="auto"/>
                              </w:divBdr>
                              <w:divsChild>
                                <w:div w:id="1368023319">
                                  <w:marLeft w:val="0"/>
                                  <w:marRight w:val="0"/>
                                  <w:marTop w:val="0"/>
                                  <w:marBottom w:val="0"/>
                                  <w:divBdr>
                                    <w:top w:val="none" w:sz="0" w:space="0" w:color="auto"/>
                                    <w:left w:val="none" w:sz="0" w:space="0" w:color="auto"/>
                                    <w:bottom w:val="none" w:sz="0" w:space="0" w:color="auto"/>
                                    <w:right w:val="none" w:sz="0" w:space="0" w:color="auto"/>
                                  </w:divBdr>
                                  <w:divsChild>
                                    <w:div w:id="1933122687">
                                      <w:marLeft w:val="0"/>
                                      <w:marRight w:val="0"/>
                                      <w:marTop w:val="0"/>
                                      <w:marBottom w:val="0"/>
                                      <w:divBdr>
                                        <w:top w:val="none" w:sz="0" w:space="0" w:color="auto"/>
                                        <w:left w:val="none" w:sz="0" w:space="0" w:color="auto"/>
                                        <w:bottom w:val="none" w:sz="0" w:space="0" w:color="auto"/>
                                        <w:right w:val="none" w:sz="0" w:space="0" w:color="auto"/>
                                      </w:divBdr>
                                      <w:divsChild>
                                        <w:div w:id="1969780474">
                                          <w:marLeft w:val="0"/>
                                          <w:marRight w:val="0"/>
                                          <w:marTop w:val="0"/>
                                          <w:marBottom w:val="0"/>
                                          <w:divBdr>
                                            <w:top w:val="none" w:sz="0" w:space="0" w:color="auto"/>
                                            <w:left w:val="none" w:sz="0" w:space="0" w:color="auto"/>
                                            <w:bottom w:val="none" w:sz="0" w:space="0" w:color="auto"/>
                                            <w:right w:val="none" w:sz="0" w:space="0" w:color="auto"/>
                                          </w:divBdr>
                                          <w:divsChild>
                                            <w:div w:id="2120561824">
                                              <w:marLeft w:val="0"/>
                                              <w:marRight w:val="0"/>
                                              <w:marTop w:val="0"/>
                                              <w:marBottom w:val="0"/>
                                              <w:divBdr>
                                                <w:top w:val="none" w:sz="0" w:space="0" w:color="auto"/>
                                                <w:left w:val="none" w:sz="0" w:space="0" w:color="auto"/>
                                                <w:bottom w:val="none" w:sz="0" w:space="0" w:color="auto"/>
                                                <w:right w:val="none" w:sz="0" w:space="0" w:color="auto"/>
                                              </w:divBdr>
                                              <w:divsChild>
                                                <w:div w:id="722094562">
                                                  <w:marLeft w:val="0"/>
                                                  <w:marRight w:val="0"/>
                                                  <w:marTop w:val="0"/>
                                                  <w:marBottom w:val="0"/>
                                                  <w:divBdr>
                                                    <w:top w:val="none" w:sz="0" w:space="0" w:color="auto"/>
                                                    <w:left w:val="none" w:sz="0" w:space="0" w:color="auto"/>
                                                    <w:bottom w:val="none" w:sz="0" w:space="0" w:color="auto"/>
                                                    <w:right w:val="none" w:sz="0" w:space="0" w:color="auto"/>
                                                  </w:divBdr>
                                                  <w:divsChild>
                                                    <w:div w:id="259530909">
                                                      <w:marLeft w:val="0"/>
                                                      <w:marRight w:val="0"/>
                                                      <w:marTop w:val="0"/>
                                                      <w:marBottom w:val="0"/>
                                                      <w:divBdr>
                                                        <w:top w:val="none" w:sz="0" w:space="0" w:color="auto"/>
                                                        <w:left w:val="none" w:sz="0" w:space="0" w:color="auto"/>
                                                        <w:bottom w:val="none" w:sz="0" w:space="0" w:color="auto"/>
                                                        <w:right w:val="none" w:sz="0" w:space="0" w:color="auto"/>
                                                      </w:divBdr>
                                                      <w:divsChild>
                                                        <w:div w:id="1525049779">
                                                          <w:marLeft w:val="0"/>
                                                          <w:marRight w:val="0"/>
                                                          <w:marTop w:val="0"/>
                                                          <w:marBottom w:val="0"/>
                                                          <w:divBdr>
                                                            <w:top w:val="none" w:sz="0" w:space="0" w:color="auto"/>
                                                            <w:left w:val="none" w:sz="0" w:space="0" w:color="auto"/>
                                                            <w:bottom w:val="none" w:sz="0" w:space="0" w:color="auto"/>
                                                            <w:right w:val="none" w:sz="0" w:space="0" w:color="auto"/>
                                                          </w:divBdr>
                                                          <w:divsChild>
                                                            <w:div w:id="868949890">
                                                              <w:marLeft w:val="0"/>
                                                              <w:marRight w:val="0"/>
                                                              <w:marTop w:val="0"/>
                                                              <w:marBottom w:val="0"/>
                                                              <w:divBdr>
                                                                <w:top w:val="none" w:sz="0" w:space="0" w:color="auto"/>
                                                                <w:left w:val="none" w:sz="0" w:space="0" w:color="auto"/>
                                                                <w:bottom w:val="none" w:sz="0" w:space="0" w:color="auto"/>
                                                                <w:right w:val="none" w:sz="0" w:space="0" w:color="auto"/>
                                                              </w:divBdr>
                                                              <w:divsChild>
                                                                <w:div w:id="1567032031">
                                                                  <w:marLeft w:val="0"/>
                                                                  <w:marRight w:val="0"/>
                                                                  <w:marTop w:val="0"/>
                                                                  <w:marBottom w:val="0"/>
                                                                  <w:divBdr>
                                                                    <w:top w:val="none" w:sz="0" w:space="0" w:color="auto"/>
                                                                    <w:left w:val="none" w:sz="0" w:space="0" w:color="auto"/>
                                                                    <w:bottom w:val="none" w:sz="0" w:space="0" w:color="auto"/>
                                                                    <w:right w:val="none" w:sz="0" w:space="0" w:color="auto"/>
                                                                  </w:divBdr>
                                                                  <w:divsChild>
                                                                    <w:div w:id="713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4341647">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43080282">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43480673">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31770597">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ejov.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F6F6-BB3F-4540-B623-5E14E234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3847</Words>
  <Characters>22770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Mejzlíková Petra</cp:lastModifiedBy>
  <cp:revision>4</cp:revision>
  <cp:lastPrinted>2021-08-30T08:18:00Z</cp:lastPrinted>
  <dcterms:created xsi:type="dcterms:W3CDTF">2021-08-30T11:58:00Z</dcterms:created>
  <dcterms:modified xsi:type="dcterms:W3CDTF">2021-08-30T12:10:00Z</dcterms:modified>
</cp:coreProperties>
</file>