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07" w:rsidRPr="007114F7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="00354CAE" w:rsidRPr="007114F7">
        <w:rPr>
          <w:rFonts w:ascii="Arial" w:hAnsi="Arial" w:cs="Arial"/>
          <w:bCs/>
          <w:sz w:val="20"/>
          <w:szCs w:val="20"/>
        </w:rPr>
        <w:t>Předkládá:</w:t>
      </w:r>
      <w:r w:rsidR="00354CAE" w:rsidRPr="007114F7">
        <w:rPr>
          <w:rFonts w:ascii="Arial" w:hAnsi="Arial" w:cs="Arial"/>
          <w:bCs/>
          <w:sz w:val="20"/>
          <w:szCs w:val="20"/>
        </w:rPr>
        <w:tab/>
      </w:r>
      <w:r w:rsidR="00FD1707" w:rsidRPr="007114F7">
        <w:rPr>
          <w:rFonts w:ascii="Arial" w:hAnsi="Arial" w:cs="Arial"/>
          <w:bCs/>
          <w:sz w:val="20"/>
          <w:szCs w:val="20"/>
        </w:rPr>
        <w:t>Rada města Prostějova</w:t>
      </w:r>
    </w:p>
    <w:p w:rsidR="00FD1707" w:rsidRPr="007114F7" w:rsidRDefault="00FD170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7114F7" w:rsidRDefault="00FD170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="00C24E5B" w:rsidRPr="007114F7">
        <w:rPr>
          <w:rFonts w:ascii="Arial" w:hAnsi="Arial" w:cs="Arial"/>
          <w:bCs/>
          <w:sz w:val="20"/>
          <w:szCs w:val="20"/>
        </w:rPr>
        <w:t>Ing. Milada Sokolová,</w:t>
      </w:r>
    </w:p>
    <w:p w:rsidR="00B92A9B" w:rsidRPr="007114F7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="00292627" w:rsidRPr="007114F7">
        <w:rPr>
          <w:rFonts w:ascii="Arial" w:hAnsi="Arial" w:cs="Arial"/>
          <w:bCs/>
          <w:sz w:val="20"/>
          <w:szCs w:val="20"/>
        </w:rPr>
        <w:tab/>
      </w:r>
      <w:r w:rsidR="00F219FA" w:rsidRPr="007114F7">
        <w:rPr>
          <w:rFonts w:ascii="Arial" w:hAnsi="Arial" w:cs="Arial"/>
          <w:bCs/>
          <w:sz w:val="20"/>
          <w:szCs w:val="20"/>
        </w:rPr>
        <w:t xml:space="preserve">1. </w:t>
      </w:r>
      <w:r w:rsidRPr="007114F7">
        <w:rPr>
          <w:rFonts w:ascii="Arial" w:hAnsi="Arial" w:cs="Arial"/>
          <w:bCs/>
          <w:sz w:val="20"/>
          <w:szCs w:val="20"/>
        </w:rPr>
        <w:t>náměstk</w:t>
      </w:r>
      <w:r w:rsidR="00C24E5B" w:rsidRPr="007114F7">
        <w:rPr>
          <w:rFonts w:ascii="Arial" w:hAnsi="Arial" w:cs="Arial"/>
          <w:bCs/>
          <w:sz w:val="20"/>
          <w:szCs w:val="20"/>
        </w:rPr>
        <w:t>yně</w:t>
      </w:r>
      <w:r w:rsidRPr="007114F7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7114F7">
        <w:rPr>
          <w:rFonts w:ascii="Arial" w:hAnsi="Arial" w:cs="Arial"/>
          <w:bCs/>
          <w:sz w:val="20"/>
          <w:szCs w:val="20"/>
        </w:rPr>
        <w:t>primátora</w:t>
      </w:r>
    </w:p>
    <w:p w:rsidR="00354CAE" w:rsidRPr="007114F7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C5060" w:rsidRPr="007114F7" w:rsidRDefault="00354CAE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</w:r>
      <w:r w:rsidRPr="007114F7">
        <w:rPr>
          <w:rFonts w:ascii="Arial" w:hAnsi="Arial" w:cs="Arial"/>
          <w:bCs/>
          <w:sz w:val="20"/>
          <w:szCs w:val="20"/>
        </w:rPr>
        <w:tab/>
        <w:t>Zpracovali:</w:t>
      </w:r>
      <w:r w:rsidR="00292627" w:rsidRPr="007114F7">
        <w:rPr>
          <w:rFonts w:ascii="Arial" w:hAnsi="Arial" w:cs="Arial"/>
          <w:bCs/>
          <w:sz w:val="20"/>
          <w:szCs w:val="20"/>
        </w:rPr>
        <w:tab/>
      </w:r>
      <w:r w:rsidR="002C5060" w:rsidRPr="007114F7">
        <w:rPr>
          <w:rFonts w:ascii="Arial" w:hAnsi="Arial" w:cs="Arial"/>
          <w:bCs/>
          <w:sz w:val="20"/>
          <w:szCs w:val="20"/>
        </w:rPr>
        <w:t>Mgr. Alexandra Klímková,</w:t>
      </w:r>
    </w:p>
    <w:p w:rsidR="002C5060" w:rsidRPr="007114F7" w:rsidRDefault="002C5060" w:rsidP="002C5060">
      <w:pPr>
        <w:tabs>
          <w:tab w:val="left" w:pos="1620"/>
        </w:tabs>
        <w:ind w:left="6372" w:hanging="1620"/>
        <w:rPr>
          <w:rFonts w:ascii="Arial" w:hAnsi="Arial" w:cs="Arial"/>
          <w:sz w:val="20"/>
        </w:rPr>
      </w:pPr>
      <w:r w:rsidRPr="007114F7">
        <w:rPr>
          <w:rFonts w:ascii="Arial" w:hAnsi="Arial" w:cs="Arial"/>
          <w:bCs/>
          <w:sz w:val="20"/>
          <w:szCs w:val="20"/>
        </w:rPr>
        <w:tab/>
      </w:r>
      <w:r w:rsidR="002909CB" w:rsidRPr="007114F7">
        <w:rPr>
          <w:rFonts w:ascii="Arial" w:hAnsi="Arial" w:cs="Arial"/>
          <w:bCs/>
          <w:sz w:val="20"/>
          <w:szCs w:val="20"/>
        </w:rPr>
        <w:t>vedoucí</w:t>
      </w:r>
      <w:r w:rsidRPr="007114F7">
        <w:rPr>
          <w:rFonts w:ascii="Arial" w:hAnsi="Arial" w:cs="Arial"/>
          <w:bCs/>
          <w:sz w:val="20"/>
          <w:szCs w:val="20"/>
        </w:rPr>
        <w:t xml:space="preserve"> </w:t>
      </w:r>
      <w:r w:rsidRPr="007114F7">
        <w:rPr>
          <w:rFonts w:ascii="Arial" w:hAnsi="Arial" w:cs="Arial"/>
          <w:sz w:val="20"/>
        </w:rPr>
        <w:t>Odboru správy a údržby majetku města</w:t>
      </w:r>
    </w:p>
    <w:p w:rsidR="00354CAE" w:rsidRPr="007114F7" w:rsidRDefault="00B5614A" w:rsidP="003B695D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7114F7">
        <w:rPr>
          <w:rFonts w:ascii="Arial" w:hAnsi="Arial" w:cs="Arial"/>
          <w:sz w:val="20"/>
        </w:rPr>
        <w:tab/>
      </w:r>
      <w:r w:rsidRPr="007114F7">
        <w:rPr>
          <w:rFonts w:ascii="Arial" w:hAnsi="Arial" w:cs="Arial"/>
          <w:sz w:val="20"/>
        </w:rPr>
        <w:tab/>
      </w:r>
      <w:r w:rsidRPr="007114F7">
        <w:rPr>
          <w:rFonts w:ascii="Arial" w:hAnsi="Arial" w:cs="Arial"/>
          <w:sz w:val="20"/>
        </w:rPr>
        <w:tab/>
      </w:r>
    </w:p>
    <w:p w:rsidR="001B3A80" w:rsidRPr="007114F7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="00292627" w:rsidRPr="007114F7">
        <w:rPr>
          <w:rFonts w:ascii="Arial" w:hAnsi="Arial" w:cs="Arial"/>
          <w:sz w:val="20"/>
          <w:szCs w:val="20"/>
        </w:rPr>
        <w:t>Bc. Vladimír Hofman</w:t>
      </w:r>
      <w:r w:rsidR="001B3A80" w:rsidRPr="007114F7">
        <w:rPr>
          <w:rFonts w:ascii="Arial" w:hAnsi="Arial" w:cs="Arial"/>
          <w:sz w:val="20"/>
          <w:szCs w:val="20"/>
        </w:rPr>
        <w:t>,</w:t>
      </w:r>
      <w:r w:rsidR="001B3A80" w:rsidRPr="007114F7">
        <w:rPr>
          <w:rFonts w:ascii="Arial" w:hAnsi="Arial" w:cs="Arial"/>
          <w:sz w:val="20"/>
          <w:szCs w:val="20"/>
        </w:rPr>
        <w:tab/>
      </w:r>
    </w:p>
    <w:p w:rsidR="00292627" w:rsidRPr="007114F7" w:rsidRDefault="001B3A80" w:rsidP="001B3A80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="00284CB3" w:rsidRPr="007114F7">
        <w:rPr>
          <w:rFonts w:ascii="Arial" w:hAnsi="Arial" w:cs="Arial"/>
          <w:sz w:val="20"/>
          <w:szCs w:val="20"/>
        </w:rPr>
        <w:t xml:space="preserve">vedoucí </w:t>
      </w:r>
      <w:r w:rsidR="00292627" w:rsidRPr="007114F7">
        <w:rPr>
          <w:rFonts w:ascii="Arial" w:hAnsi="Arial" w:cs="Arial"/>
          <w:sz w:val="20"/>
          <w:szCs w:val="20"/>
        </w:rPr>
        <w:t xml:space="preserve">oddělení nakládání </w:t>
      </w:r>
    </w:p>
    <w:p w:rsidR="00354CAE" w:rsidRPr="007114F7" w:rsidRDefault="00292627" w:rsidP="0029262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</w:r>
      <w:r w:rsidRPr="007114F7">
        <w:rPr>
          <w:rFonts w:ascii="Arial" w:hAnsi="Arial" w:cs="Arial"/>
          <w:sz w:val="20"/>
          <w:szCs w:val="20"/>
        </w:rPr>
        <w:tab/>
        <w:t>s majetkem města Odboru SÚMM</w:t>
      </w:r>
    </w:p>
    <w:p w:rsidR="00C5234F" w:rsidRPr="007114F7" w:rsidRDefault="00C5234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D1707" w:rsidRPr="007114F7" w:rsidRDefault="00FD1707" w:rsidP="00FD1707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7114F7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FD1707" w:rsidRPr="007114F7" w:rsidRDefault="00FD1707" w:rsidP="00FD1707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7114F7">
        <w:rPr>
          <w:rFonts w:ascii="Arial" w:hAnsi="Arial" w:cs="Arial"/>
          <w:bCs/>
          <w:sz w:val="36"/>
          <w:szCs w:val="36"/>
        </w:rPr>
        <w:t>konané dne 03. 12. 2024</w:t>
      </w:r>
    </w:p>
    <w:p w:rsidR="00710CAD" w:rsidRPr="007114F7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B2229" w:rsidRPr="007114F7" w:rsidRDefault="00FD1707" w:rsidP="005B222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7114F7">
        <w:rPr>
          <w:rFonts w:ascii="Arial" w:hAnsi="Arial" w:cs="Arial"/>
          <w:b/>
        </w:rPr>
        <w:t>Schválení v</w:t>
      </w:r>
      <w:r w:rsidR="003B695D" w:rsidRPr="007114F7">
        <w:rPr>
          <w:rFonts w:ascii="Arial" w:hAnsi="Arial" w:cs="Arial"/>
          <w:b/>
        </w:rPr>
        <w:t>ýkup</w:t>
      </w:r>
      <w:r w:rsidRPr="007114F7">
        <w:rPr>
          <w:rFonts w:ascii="Arial" w:hAnsi="Arial" w:cs="Arial"/>
          <w:b/>
        </w:rPr>
        <w:t>u</w:t>
      </w:r>
      <w:r w:rsidR="0093565A" w:rsidRPr="007114F7">
        <w:rPr>
          <w:rFonts w:ascii="Arial" w:hAnsi="Arial" w:cs="Arial"/>
          <w:b/>
        </w:rPr>
        <w:t xml:space="preserve"> </w:t>
      </w:r>
      <w:r w:rsidR="0065748C" w:rsidRPr="007114F7">
        <w:rPr>
          <w:rFonts w:ascii="Arial" w:hAnsi="Arial" w:cs="Arial"/>
          <w:b/>
        </w:rPr>
        <w:t>částí hlavního odvodňovacího zařízení od Státního pozemkového úřadu</w:t>
      </w:r>
    </w:p>
    <w:p w:rsidR="00710CAD" w:rsidRPr="007114F7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CD5D90" w:rsidRPr="007114F7" w:rsidRDefault="00CD5D90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7114F7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7114F7">
        <w:rPr>
          <w:rFonts w:ascii="Arial" w:hAnsi="Arial" w:cs="Arial"/>
          <w:szCs w:val="20"/>
        </w:rPr>
        <w:t>Návrh usnesení:</w:t>
      </w:r>
    </w:p>
    <w:p w:rsidR="00D1621E" w:rsidRPr="007114F7" w:rsidRDefault="00D1621E" w:rsidP="00B8533E">
      <w:pPr>
        <w:rPr>
          <w:rFonts w:ascii="Arial" w:hAnsi="Arial" w:cs="Arial"/>
          <w:b/>
          <w:sz w:val="20"/>
          <w:szCs w:val="20"/>
        </w:rPr>
      </w:pPr>
    </w:p>
    <w:p w:rsidR="00FD1707" w:rsidRPr="007114F7" w:rsidRDefault="008A19E8" w:rsidP="00FD1707">
      <w:pPr>
        <w:rPr>
          <w:rFonts w:ascii="Arial" w:hAnsi="Arial" w:cs="Arial"/>
          <w:b/>
        </w:rPr>
      </w:pPr>
      <w:r w:rsidRPr="007114F7">
        <w:rPr>
          <w:rFonts w:ascii="Arial" w:hAnsi="Arial" w:cs="Arial"/>
          <w:b/>
        </w:rPr>
        <w:t>Zastupitelstvo města Prostějova</w:t>
      </w:r>
    </w:p>
    <w:p w:rsidR="00FD1707" w:rsidRPr="007114F7" w:rsidRDefault="00FD1707" w:rsidP="00FD1707">
      <w:pPr>
        <w:jc w:val="both"/>
        <w:rPr>
          <w:rFonts w:ascii="Arial" w:hAnsi="Arial" w:cs="Arial"/>
          <w:b/>
          <w:bCs/>
        </w:rPr>
      </w:pPr>
      <w:r w:rsidRPr="007114F7">
        <w:rPr>
          <w:rFonts w:ascii="Arial" w:hAnsi="Arial" w:cs="Arial"/>
          <w:b/>
          <w:bCs/>
        </w:rPr>
        <w:t>s c h v a l u j e</w:t>
      </w:r>
    </w:p>
    <w:p w:rsidR="00467A47" w:rsidRPr="007114F7" w:rsidRDefault="003A6291" w:rsidP="0065748C">
      <w:pPr>
        <w:pStyle w:val="Zkladntext2"/>
        <w:tabs>
          <w:tab w:val="clear" w:pos="-284"/>
          <w:tab w:val="left" w:pos="0"/>
        </w:tabs>
        <w:rPr>
          <w:rFonts w:ascii="Arial" w:hAnsi="Arial" w:cs="Arial"/>
          <w:sz w:val="24"/>
        </w:rPr>
      </w:pPr>
      <w:r w:rsidRPr="007114F7">
        <w:rPr>
          <w:rFonts w:ascii="Arial" w:hAnsi="Arial" w:cs="Arial"/>
          <w:bCs w:val="0"/>
          <w:sz w:val="24"/>
        </w:rPr>
        <w:t>z důvodů uvedených v důvodové zprávě k</w:t>
      </w:r>
      <w:r w:rsidR="003B07CB" w:rsidRPr="007114F7">
        <w:rPr>
          <w:rFonts w:ascii="Arial" w:hAnsi="Arial" w:cs="Arial"/>
          <w:bCs w:val="0"/>
          <w:sz w:val="24"/>
        </w:rPr>
        <w:t> </w:t>
      </w:r>
      <w:r w:rsidRPr="007114F7">
        <w:rPr>
          <w:rFonts w:ascii="Arial" w:hAnsi="Arial" w:cs="Arial"/>
          <w:bCs w:val="0"/>
          <w:sz w:val="24"/>
        </w:rPr>
        <w:t>materiálu</w:t>
      </w:r>
      <w:r w:rsidR="003B07CB" w:rsidRPr="007114F7">
        <w:rPr>
          <w:rFonts w:ascii="Arial" w:hAnsi="Arial" w:cs="Arial"/>
          <w:bCs w:val="0"/>
          <w:sz w:val="24"/>
        </w:rPr>
        <w:t xml:space="preserve"> </w:t>
      </w:r>
      <w:r w:rsidRPr="007114F7">
        <w:rPr>
          <w:rFonts w:ascii="Arial" w:hAnsi="Arial" w:cs="Arial"/>
          <w:sz w:val="24"/>
        </w:rPr>
        <w:t xml:space="preserve">výkup </w:t>
      </w:r>
      <w:r w:rsidR="0065748C" w:rsidRPr="007114F7">
        <w:rPr>
          <w:rFonts w:ascii="Arial" w:hAnsi="Arial" w:cs="Arial"/>
          <w:sz w:val="24"/>
        </w:rPr>
        <w:t xml:space="preserve">2 částí stavby vodního díla hlavního odvodňovacího zařízení </w:t>
      </w:r>
      <w:proofErr w:type="spellStart"/>
      <w:r w:rsidR="0065748C" w:rsidRPr="007114F7">
        <w:rPr>
          <w:rFonts w:ascii="Arial" w:hAnsi="Arial" w:cs="Arial"/>
          <w:sz w:val="24"/>
        </w:rPr>
        <w:t>Domamyslice</w:t>
      </w:r>
      <w:proofErr w:type="spellEnd"/>
      <w:r w:rsidR="0065748C" w:rsidRPr="007114F7">
        <w:rPr>
          <w:rFonts w:ascii="Arial" w:hAnsi="Arial" w:cs="Arial"/>
          <w:sz w:val="24"/>
        </w:rPr>
        <w:t xml:space="preserve"> </w:t>
      </w:r>
      <w:r w:rsidR="004804B1" w:rsidRPr="007114F7">
        <w:rPr>
          <w:rFonts w:ascii="Arial" w:hAnsi="Arial" w:cs="Arial"/>
          <w:sz w:val="24"/>
        </w:rPr>
        <w:t xml:space="preserve">dotčených stavbou </w:t>
      </w:r>
      <w:r w:rsidR="001750F6" w:rsidRPr="007114F7">
        <w:rPr>
          <w:rFonts w:ascii="Arial" w:hAnsi="Arial" w:cs="Arial"/>
          <w:sz w:val="24"/>
        </w:rPr>
        <w:t>„</w:t>
      </w:r>
      <w:r w:rsidR="004804B1" w:rsidRPr="007114F7">
        <w:rPr>
          <w:rFonts w:ascii="Arial" w:hAnsi="Arial" w:cs="Arial"/>
          <w:sz w:val="24"/>
        </w:rPr>
        <w:t>Cyklistick</w:t>
      </w:r>
      <w:r w:rsidR="001750F6" w:rsidRPr="007114F7">
        <w:rPr>
          <w:rFonts w:ascii="Arial" w:hAnsi="Arial" w:cs="Arial"/>
          <w:sz w:val="24"/>
        </w:rPr>
        <w:t>á</w:t>
      </w:r>
      <w:r w:rsidR="004804B1" w:rsidRPr="007114F7">
        <w:rPr>
          <w:rFonts w:ascii="Arial" w:hAnsi="Arial" w:cs="Arial"/>
          <w:sz w:val="24"/>
        </w:rPr>
        <w:t xml:space="preserve"> stezk</w:t>
      </w:r>
      <w:r w:rsidR="001750F6" w:rsidRPr="007114F7">
        <w:rPr>
          <w:rFonts w:ascii="Arial" w:hAnsi="Arial" w:cs="Arial"/>
          <w:sz w:val="24"/>
        </w:rPr>
        <w:t>a</w:t>
      </w:r>
      <w:r w:rsidR="004804B1" w:rsidRPr="007114F7">
        <w:rPr>
          <w:rFonts w:ascii="Arial" w:hAnsi="Arial" w:cs="Arial"/>
          <w:sz w:val="24"/>
        </w:rPr>
        <w:t xml:space="preserve"> Seloutky </w:t>
      </w:r>
      <w:r w:rsidR="00675511" w:rsidRPr="007114F7">
        <w:rPr>
          <w:rFonts w:ascii="Arial" w:hAnsi="Arial" w:cs="Arial"/>
          <w:sz w:val="24"/>
        </w:rPr>
        <w:t xml:space="preserve">- </w:t>
      </w:r>
      <w:r w:rsidR="001750F6" w:rsidRPr="007114F7">
        <w:rPr>
          <w:rFonts w:ascii="Arial" w:hAnsi="Arial" w:cs="Arial"/>
          <w:sz w:val="24"/>
        </w:rPr>
        <w:t xml:space="preserve">I. etapa“ </w:t>
      </w:r>
      <w:r w:rsidR="001D5BC8" w:rsidRPr="007114F7">
        <w:rPr>
          <w:rFonts w:ascii="Arial" w:hAnsi="Arial" w:cs="Arial"/>
          <w:sz w:val="24"/>
        </w:rPr>
        <w:t>z vlastnictví České republiky, s příslušností hospodařit s majetkem státu pro Státní pozemkový úřad, se sídlem Praha 3 – Žižkov, Husinecká 1024/11a, PSČ: 130 00, IČ</w:t>
      </w:r>
      <w:r w:rsidR="004804B1" w:rsidRPr="007114F7">
        <w:rPr>
          <w:rFonts w:ascii="Arial" w:hAnsi="Arial" w:cs="Arial"/>
          <w:sz w:val="24"/>
        </w:rPr>
        <w:t>O</w:t>
      </w:r>
      <w:r w:rsidR="001D5BC8" w:rsidRPr="007114F7">
        <w:rPr>
          <w:rFonts w:ascii="Arial" w:hAnsi="Arial" w:cs="Arial"/>
          <w:sz w:val="24"/>
        </w:rPr>
        <w:t>: 013 12 774, do vlastnictví Statutárního města Prostějova</w:t>
      </w:r>
      <w:r w:rsidR="001D5BC8" w:rsidRPr="007114F7">
        <w:rPr>
          <w:rFonts w:ascii="Arial" w:hAnsi="Arial" w:cs="Arial"/>
        </w:rPr>
        <w:t xml:space="preserve"> </w:t>
      </w:r>
      <w:r w:rsidR="001D5BC8" w:rsidRPr="007114F7">
        <w:rPr>
          <w:rFonts w:ascii="Arial" w:hAnsi="Arial" w:cs="Arial"/>
          <w:sz w:val="24"/>
        </w:rPr>
        <w:t xml:space="preserve">za podmínek </w:t>
      </w:r>
      <w:r w:rsidR="00467A47" w:rsidRPr="007114F7">
        <w:rPr>
          <w:rFonts w:ascii="Arial" w:hAnsi="Arial" w:cs="Arial"/>
          <w:sz w:val="24"/>
        </w:rPr>
        <w:t>dle Kupní smlouvy č. 7001K24/53 přiložené k materiálu.</w:t>
      </w:r>
    </w:p>
    <w:p w:rsidR="00CB4E86" w:rsidRPr="007114F7" w:rsidRDefault="00CB4E86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F6BD4" w:rsidRPr="007114F7" w:rsidRDefault="00FF6BD4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F6BD4" w:rsidRPr="007114F7" w:rsidRDefault="00FF6BD4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F6BD4" w:rsidRPr="007114F7" w:rsidRDefault="00FF6BD4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F6BD4" w:rsidRPr="007114F7" w:rsidRDefault="00FF6BD4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F6BD4" w:rsidRPr="007114F7" w:rsidRDefault="00FF6BD4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5104F2" w:rsidRPr="007114F7" w:rsidRDefault="005104F2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3D6567" w:rsidRPr="007114F7" w:rsidRDefault="003D6567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FF6BD4" w:rsidRPr="007114F7" w:rsidRDefault="00FF6BD4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tbl>
      <w:tblPr>
        <w:tblStyle w:val="Mkatabulky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7114F7" w:rsidRPr="007114F7" w:rsidTr="00323870">
        <w:tc>
          <w:tcPr>
            <w:tcW w:w="9204" w:type="dxa"/>
            <w:gridSpan w:val="4"/>
          </w:tcPr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4F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5104F2" w:rsidRPr="007114F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7114F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7114F7" w:rsidRPr="007114F7" w:rsidTr="00323870">
        <w:tc>
          <w:tcPr>
            <w:tcW w:w="2196" w:type="dxa"/>
          </w:tcPr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14F7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Ing. Milada Sokolová, 1. náměstkyně primátora</w:t>
            </w:r>
          </w:p>
        </w:tc>
        <w:tc>
          <w:tcPr>
            <w:tcW w:w="1775" w:type="dxa"/>
            <w:vAlign w:val="bottom"/>
          </w:tcPr>
          <w:p w:rsidR="00F979C4" w:rsidRPr="007114F7" w:rsidRDefault="005104F2" w:rsidP="005104F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F979C4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467A47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11</w:t>
            </w:r>
            <w:r w:rsidR="00F979C4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753E3B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33" w:type="dxa"/>
            <w:vAlign w:val="bottom"/>
          </w:tcPr>
          <w:p w:rsidR="00F979C4" w:rsidRPr="007114F7" w:rsidRDefault="00C51792" w:rsidP="0032387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7114F7" w:rsidRPr="007114F7" w:rsidTr="00323870">
        <w:tc>
          <w:tcPr>
            <w:tcW w:w="2196" w:type="dxa"/>
          </w:tcPr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14F7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979C4" w:rsidRPr="007114F7" w:rsidRDefault="00F979C4" w:rsidP="003238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Mgr. Alexandra Klímková, vedoucí Odboru správy a údržby majetku města</w:t>
            </w:r>
          </w:p>
        </w:tc>
        <w:tc>
          <w:tcPr>
            <w:tcW w:w="1775" w:type="dxa"/>
            <w:vAlign w:val="bottom"/>
          </w:tcPr>
          <w:p w:rsidR="00F979C4" w:rsidRPr="007114F7" w:rsidRDefault="005104F2" w:rsidP="005104F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467A47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.11</w:t>
            </w:r>
            <w:r w:rsidR="00753E3B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33" w:type="dxa"/>
            <w:vAlign w:val="bottom"/>
          </w:tcPr>
          <w:p w:rsidR="00F979C4" w:rsidRPr="007114F7" w:rsidRDefault="00C51792" w:rsidP="0032387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7114F7" w:rsidRPr="007114F7" w:rsidTr="008624E8">
        <w:tc>
          <w:tcPr>
            <w:tcW w:w="2196" w:type="dxa"/>
          </w:tcPr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14F7">
              <w:rPr>
                <w:rFonts w:ascii="Arial" w:hAnsi="Arial" w:cs="Arial"/>
                <w:sz w:val="20"/>
                <w:szCs w:val="20"/>
              </w:rPr>
              <w:t>Za právní správnost smlouvy</w:t>
            </w:r>
          </w:p>
        </w:tc>
        <w:tc>
          <w:tcPr>
            <w:tcW w:w="3500" w:type="dxa"/>
          </w:tcPr>
          <w:p w:rsidR="005104F2" w:rsidRPr="007114F7" w:rsidRDefault="005104F2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CB4E86" w:rsidRPr="007114F7" w:rsidRDefault="00753E3B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14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Mgr. Tomáš Pustka</w:t>
            </w:r>
            <w:r w:rsidR="00CB4E86" w:rsidRPr="007114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právník </w:t>
            </w:r>
            <w:r w:rsidR="00CB4E86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Odboru správy a údržby majetku města</w:t>
            </w:r>
          </w:p>
        </w:tc>
        <w:tc>
          <w:tcPr>
            <w:tcW w:w="1775" w:type="dxa"/>
          </w:tcPr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04F2" w:rsidRPr="007114F7" w:rsidRDefault="005104F2" w:rsidP="00FD170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B4E86" w:rsidRPr="007114F7" w:rsidRDefault="005104F2" w:rsidP="005104F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753E3B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467A47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11</w:t>
            </w:r>
            <w:r w:rsidR="00753E3B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33" w:type="dxa"/>
          </w:tcPr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B4E86" w:rsidRPr="007114F7" w:rsidRDefault="00C51792" w:rsidP="00CB4E8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Pustka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B4E86" w:rsidRPr="007114F7" w:rsidTr="00323870">
        <w:tc>
          <w:tcPr>
            <w:tcW w:w="2196" w:type="dxa"/>
          </w:tcPr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14F7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00" w:type="dxa"/>
          </w:tcPr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B4E86" w:rsidRPr="007114F7" w:rsidRDefault="00CB4E86" w:rsidP="00CB4E8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Bc. Vladimír Hofman, vedoucí oddělení nakládání s majetkem města Odboru SÚMM</w:t>
            </w:r>
          </w:p>
        </w:tc>
        <w:tc>
          <w:tcPr>
            <w:tcW w:w="1775" w:type="dxa"/>
            <w:vAlign w:val="bottom"/>
          </w:tcPr>
          <w:p w:rsidR="00CB4E86" w:rsidRPr="007114F7" w:rsidRDefault="005104F2" w:rsidP="005104F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467A47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.11</w:t>
            </w:r>
            <w:r w:rsidR="00753E3B" w:rsidRPr="007114F7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733" w:type="dxa"/>
            <w:vAlign w:val="bottom"/>
          </w:tcPr>
          <w:p w:rsidR="00CB4E86" w:rsidRPr="007114F7" w:rsidRDefault="00C51792" w:rsidP="00CB4E8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Hofman,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CB4E86" w:rsidRPr="007114F7" w:rsidRDefault="00CB4E86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630FC3" w:rsidRPr="007114F7" w:rsidRDefault="00630FC3" w:rsidP="00630FC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7114F7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2250CC" w:rsidRPr="007114F7" w:rsidRDefault="002250CC" w:rsidP="002250CC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>V minulém roce byla dokončena projektová dokumentace pro společné povolení na Cyklistickou stezku Seloutky I. etapu. V červnu letošního roku bylo vydáno stavební povolení a podána Žádost o dotaci na Státní fond dopravní infrastruktury.</w:t>
      </w:r>
    </w:p>
    <w:p w:rsidR="002250CC" w:rsidRPr="007114F7" w:rsidRDefault="002250CC" w:rsidP="002250CC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>Jedná se o propojení obce Seloutky s městem Prostějov</w:t>
      </w:r>
      <w:r w:rsidR="007E4035" w:rsidRPr="007114F7">
        <w:rPr>
          <w:rFonts w:ascii="Arial" w:hAnsi="Arial" w:cs="Arial"/>
        </w:rPr>
        <w:t>em</w:t>
      </w:r>
      <w:r w:rsidRPr="007114F7">
        <w:rPr>
          <w:rFonts w:ascii="Arial" w:hAnsi="Arial" w:cs="Arial"/>
        </w:rPr>
        <w:t xml:space="preserve"> vedené částečně podél komunikace a z větší části po polních cestách, s napojením na místní komunikaci v Čechovicích. </w:t>
      </w:r>
    </w:p>
    <w:p w:rsidR="002250CC" w:rsidRPr="007114F7" w:rsidRDefault="002250CC" w:rsidP="002250CC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>Cyklistická stezka je rozdělena do dvou etap, I. etapa je v katastru města Prostějova a II. etapa je na území katastru obce Seloutky.</w:t>
      </w:r>
    </w:p>
    <w:p w:rsidR="002250CC" w:rsidRPr="007114F7" w:rsidRDefault="002250CC" w:rsidP="002250CC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 xml:space="preserve">V trase cyklistické stezky </w:t>
      </w:r>
      <w:r w:rsidR="00675511" w:rsidRPr="007114F7">
        <w:rPr>
          <w:rFonts w:ascii="Arial" w:hAnsi="Arial" w:cs="Arial"/>
        </w:rPr>
        <w:t xml:space="preserve">I. etapy </w:t>
      </w:r>
      <w:r w:rsidRPr="007114F7">
        <w:rPr>
          <w:rFonts w:ascii="Arial" w:hAnsi="Arial" w:cs="Arial"/>
        </w:rPr>
        <w:t xml:space="preserve">se nachází </w:t>
      </w:r>
      <w:r w:rsidR="007E4035" w:rsidRPr="007114F7">
        <w:rPr>
          <w:rFonts w:ascii="Arial" w:hAnsi="Arial" w:cs="Arial"/>
        </w:rPr>
        <w:t xml:space="preserve">2 části stavby vodního díla </w:t>
      </w:r>
      <w:r w:rsidRPr="007114F7">
        <w:rPr>
          <w:rFonts w:ascii="Arial" w:hAnsi="Arial" w:cs="Arial"/>
        </w:rPr>
        <w:t xml:space="preserve">hlavního odvodňovacího zařízení </w:t>
      </w:r>
      <w:proofErr w:type="spellStart"/>
      <w:r w:rsidR="007E4035" w:rsidRPr="007114F7">
        <w:rPr>
          <w:rFonts w:ascii="Arial" w:hAnsi="Arial" w:cs="Arial"/>
        </w:rPr>
        <w:t>Domamyslice</w:t>
      </w:r>
      <w:proofErr w:type="spellEnd"/>
      <w:r w:rsidR="007E4035" w:rsidRPr="007114F7">
        <w:rPr>
          <w:rFonts w:ascii="Arial" w:hAnsi="Arial" w:cs="Arial"/>
        </w:rPr>
        <w:t xml:space="preserve"> </w:t>
      </w:r>
      <w:r w:rsidRPr="007114F7">
        <w:rPr>
          <w:rFonts w:ascii="Arial" w:hAnsi="Arial" w:cs="Arial"/>
        </w:rPr>
        <w:t xml:space="preserve">(dále jen HOZ) ve vlastnictví </w:t>
      </w:r>
      <w:r w:rsidR="00A3077D" w:rsidRPr="007114F7">
        <w:rPr>
          <w:rFonts w:ascii="Arial" w:hAnsi="Arial" w:cs="Arial"/>
        </w:rPr>
        <w:t>České republiky</w:t>
      </w:r>
      <w:r w:rsidR="00EF0775" w:rsidRPr="007114F7">
        <w:rPr>
          <w:rFonts w:ascii="Arial" w:hAnsi="Arial" w:cs="Arial"/>
        </w:rPr>
        <w:t>, přičemž příslušným hospodařit s tímto majetkem státu je</w:t>
      </w:r>
      <w:r w:rsidR="000073DD" w:rsidRPr="007114F7">
        <w:rPr>
          <w:rFonts w:ascii="Arial" w:hAnsi="Arial" w:cs="Arial"/>
        </w:rPr>
        <w:t xml:space="preserve"> Státní pozemkový úřad </w:t>
      </w:r>
      <w:r w:rsidRPr="007114F7">
        <w:rPr>
          <w:rFonts w:ascii="Arial" w:hAnsi="Arial" w:cs="Arial"/>
        </w:rPr>
        <w:t xml:space="preserve">(dále jen SPÚ), které jsou stavbou cyklistické stezky dotčeny. SPÚ požaduje majetkoprávní vypořádání </w:t>
      </w:r>
      <w:r w:rsidR="007E4035" w:rsidRPr="007114F7">
        <w:rPr>
          <w:rFonts w:ascii="Arial" w:hAnsi="Arial" w:cs="Arial"/>
        </w:rPr>
        <w:t xml:space="preserve">dotčených </w:t>
      </w:r>
      <w:r w:rsidRPr="007114F7">
        <w:rPr>
          <w:rFonts w:ascii="Arial" w:hAnsi="Arial" w:cs="Arial"/>
        </w:rPr>
        <w:t>částí HOZ realizací prodeje. Na základě výše uvedeného zpracoval SPÚ znalecký posudek a připravil návrh Kupní smlouvy č. 7001K24/53, který tvoří přílohu tohoto materiálu. Kupní cena včetně znalečného činí 18.433,70 Kč.</w:t>
      </w:r>
      <w:r w:rsidR="003D6567" w:rsidRPr="007114F7">
        <w:rPr>
          <w:rFonts w:ascii="Arial" w:hAnsi="Arial" w:cs="Arial"/>
        </w:rPr>
        <w:t xml:space="preserve"> Bez majetkoprávního vypořádání dotčených částí stavby vodního díla hlavního odvodňovacího zařízení </w:t>
      </w:r>
      <w:proofErr w:type="spellStart"/>
      <w:r w:rsidR="003D6567" w:rsidRPr="007114F7">
        <w:rPr>
          <w:rFonts w:ascii="Arial" w:hAnsi="Arial" w:cs="Arial"/>
        </w:rPr>
        <w:t>Domamyslice</w:t>
      </w:r>
      <w:proofErr w:type="spellEnd"/>
      <w:r w:rsidR="003D6567" w:rsidRPr="007114F7">
        <w:rPr>
          <w:rFonts w:ascii="Arial" w:hAnsi="Arial" w:cs="Arial"/>
        </w:rPr>
        <w:t xml:space="preserve"> není možné předmětnou stavbu cyklistické stezky realizovat.</w:t>
      </w:r>
    </w:p>
    <w:p w:rsidR="00FD1707" w:rsidRPr="007114F7" w:rsidRDefault="00FD1707" w:rsidP="002250CC">
      <w:pPr>
        <w:jc w:val="both"/>
        <w:rPr>
          <w:rFonts w:ascii="Arial" w:hAnsi="Arial" w:cs="Arial"/>
        </w:rPr>
      </w:pPr>
    </w:p>
    <w:p w:rsidR="005104F2" w:rsidRPr="007114F7" w:rsidRDefault="00FD1707" w:rsidP="005104F2">
      <w:pPr>
        <w:jc w:val="both"/>
        <w:rPr>
          <w:rFonts w:ascii="Arial" w:hAnsi="Arial" w:cs="Arial"/>
          <w:bCs/>
        </w:rPr>
      </w:pPr>
      <w:r w:rsidRPr="007114F7">
        <w:rPr>
          <w:rFonts w:ascii="Arial" w:hAnsi="Arial" w:cs="Arial"/>
          <w:b/>
          <w:bCs/>
        </w:rPr>
        <w:t>Rad</w:t>
      </w:r>
      <w:r w:rsidR="005104F2" w:rsidRPr="007114F7">
        <w:rPr>
          <w:rFonts w:ascii="Arial" w:hAnsi="Arial" w:cs="Arial"/>
          <w:b/>
          <w:bCs/>
        </w:rPr>
        <w:t>a</w:t>
      </w:r>
      <w:r w:rsidRPr="007114F7">
        <w:rPr>
          <w:rFonts w:ascii="Arial" w:hAnsi="Arial" w:cs="Arial"/>
          <w:b/>
          <w:bCs/>
        </w:rPr>
        <w:t xml:space="preserve"> města Prostějova </w:t>
      </w:r>
      <w:r w:rsidRPr="007114F7">
        <w:rPr>
          <w:rFonts w:ascii="Arial" w:hAnsi="Arial" w:cs="Arial"/>
          <w:bCs/>
        </w:rPr>
        <w:t xml:space="preserve">dne </w:t>
      </w:r>
      <w:proofErr w:type="gramStart"/>
      <w:r w:rsidRPr="007114F7">
        <w:rPr>
          <w:rFonts w:ascii="Arial" w:hAnsi="Arial" w:cs="Arial"/>
          <w:bCs/>
        </w:rPr>
        <w:t>22.11.2024</w:t>
      </w:r>
      <w:proofErr w:type="gramEnd"/>
      <w:r w:rsidR="005104F2" w:rsidRPr="007114F7">
        <w:rPr>
          <w:rFonts w:ascii="Arial" w:hAnsi="Arial" w:cs="Arial"/>
          <w:bCs/>
        </w:rPr>
        <w:t xml:space="preserve"> </w:t>
      </w:r>
      <w:r w:rsidR="005104F2" w:rsidRPr="007114F7">
        <w:rPr>
          <w:rFonts w:ascii="Arial" w:hAnsi="Arial" w:cs="Arial"/>
          <w:b/>
          <w:bCs/>
        </w:rPr>
        <w:t>doporučila</w:t>
      </w:r>
      <w:r w:rsidR="005104F2" w:rsidRPr="007114F7">
        <w:rPr>
          <w:rFonts w:ascii="Arial" w:hAnsi="Arial" w:cs="Arial"/>
          <w:bCs/>
        </w:rPr>
        <w:t xml:space="preserve"> </w:t>
      </w:r>
      <w:r w:rsidR="005104F2" w:rsidRPr="007114F7">
        <w:rPr>
          <w:rFonts w:ascii="Arial" w:hAnsi="Arial" w:cs="Arial"/>
        </w:rPr>
        <w:t xml:space="preserve">Zastupitelstvu města Prostějova z důvodů uvedených v důvodové zprávě k materiálu schválit výkup 2 částí stavby vodního díla hlavního odvodňovacího zařízení </w:t>
      </w:r>
      <w:proofErr w:type="spellStart"/>
      <w:r w:rsidR="005104F2" w:rsidRPr="007114F7">
        <w:rPr>
          <w:rFonts w:ascii="Arial" w:hAnsi="Arial" w:cs="Arial"/>
        </w:rPr>
        <w:t>Domamyslice</w:t>
      </w:r>
      <w:proofErr w:type="spellEnd"/>
      <w:r w:rsidR="005104F2" w:rsidRPr="007114F7">
        <w:rPr>
          <w:rFonts w:ascii="Arial" w:hAnsi="Arial" w:cs="Arial"/>
        </w:rPr>
        <w:t xml:space="preserve"> dotčených stavbou „Cyklistická stezka Seloutky - I. etapa“ z vlastnictví České republiky, s příslušností hospodařit s majetkem státu pro Státní pozemkový úřad, se sídlem Praha 3 – Žižkov, Husinecká 1024/11a, PSČ: 130 00, IČO: 013 12 774, do vlastnictví Statutárního města Prostějova za podmínek dle Kupní smlouvy č. 7001K24/53 přiložené k materiálu.</w:t>
      </w:r>
    </w:p>
    <w:p w:rsidR="00630FC3" w:rsidRPr="007114F7" w:rsidRDefault="00630FC3" w:rsidP="00630FC3">
      <w:pPr>
        <w:jc w:val="both"/>
        <w:rPr>
          <w:rFonts w:ascii="Arial" w:hAnsi="Arial" w:cs="Arial"/>
        </w:rPr>
      </w:pPr>
    </w:p>
    <w:p w:rsidR="00630FC3" w:rsidRPr="007114F7" w:rsidRDefault="00630FC3" w:rsidP="00630FC3">
      <w:pPr>
        <w:jc w:val="both"/>
        <w:rPr>
          <w:rFonts w:ascii="Arial" w:hAnsi="Arial" w:cs="Arial"/>
          <w:b/>
          <w:bCs/>
          <w:u w:val="single"/>
        </w:rPr>
      </w:pPr>
      <w:r w:rsidRPr="007114F7">
        <w:rPr>
          <w:rFonts w:ascii="Arial" w:hAnsi="Arial" w:cs="Arial"/>
          <w:b/>
          <w:bCs/>
          <w:u w:val="single"/>
        </w:rPr>
        <w:t>1. Stanovisko předkladatele:</w:t>
      </w:r>
    </w:p>
    <w:p w:rsidR="00DC24B8" w:rsidRPr="007114F7" w:rsidRDefault="00630FC3" w:rsidP="004804B1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 xml:space="preserve">S ohledem na výše uvedené skutečnosti Odbor správy a údržby majetku města </w:t>
      </w:r>
      <w:r w:rsidRPr="007114F7">
        <w:rPr>
          <w:rFonts w:ascii="Arial" w:hAnsi="Arial" w:cs="Arial"/>
          <w:b/>
        </w:rPr>
        <w:t xml:space="preserve">doporučuje </w:t>
      </w:r>
      <w:r w:rsidR="00FD1707" w:rsidRPr="007114F7">
        <w:rPr>
          <w:rFonts w:ascii="Arial" w:hAnsi="Arial" w:cs="Arial"/>
        </w:rPr>
        <w:t xml:space="preserve">schválit </w:t>
      </w:r>
      <w:r w:rsidR="00A3077D" w:rsidRPr="007114F7">
        <w:rPr>
          <w:rFonts w:ascii="Arial" w:hAnsi="Arial" w:cs="Arial"/>
        </w:rPr>
        <w:t xml:space="preserve">výkup </w:t>
      </w:r>
      <w:r w:rsidR="004804B1" w:rsidRPr="007114F7">
        <w:rPr>
          <w:rFonts w:ascii="Arial" w:hAnsi="Arial" w:cs="Arial"/>
        </w:rPr>
        <w:t xml:space="preserve">2 částí stavby vodního díla hlavního odvodňovacího zařízení </w:t>
      </w:r>
      <w:proofErr w:type="spellStart"/>
      <w:r w:rsidR="004804B1" w:rsidRPr="007114F7">
        <w:rPr>
          <w:rFonts w:ascii="Arial" w:hAnsi="Arial" w:cs="Arial"/>
        </w:rPr>
        <w:t>Domamyslice</w:t>
      </w:r>
      <w:proofErr w:type="spellEnd"/>
      <w:r w:rsidR="004804B1" w:rsidRPr="007114F7">
        <w:rPr>
          <w:rFonts w:ascii="Arial" w:hAnsi="Arial" w:cs="Arial"/>
        </w:rPr>
        <w:t xml:space="preserve"> z vlastnictví České republiky, s příslušností hospodařit s majetkem státu pro Státní pozemkový úřad, se sídlem Praha 3 – Žižkov, Husinecká 1024/11a, PSČ: 130 00, IČO: 013 12 774, do vlastnictví Statutárního města Prostějova za podmínek dle návrhu usnesení. </w:t>
      </w:r>
    </w:p>
    <w:p w:rsidR="004804B1" w:rsidRPr="007114F7" w:rsidRDefault="004804B1" w:rsidP="004804B1">
      <w:pPr>
        <w:pStyle w:val="Zkladntext"/>
        <w:rPr>
          <w:rFonts w:ascii="Arial" w:hAnsi="Arial" w:cs="Arial"/>
          <w:sz w:val="24"/>
        </w:rPr>
      </w:pPr>
      <w:r w:rsidRPr="007114F7">
        <w:rPr>
          <w:rFonts w:ascii="Arial" w:hAnsi="Arial" w:cs="Arial"/>
          <w:sz w:val="24"/>
        </w:rPr>
        <w:t xml:space="preserve">Budoucí využití </w:t>
      </w:r>
      <w:r w:rsidR="003D6567" w:rsidRPr="007114F7">
        <w:rPr>
          <w:rFonts w:ascii="Arial" w:hAnsi="Arial" w:cs="Arial"/>
          <w:sz w:val="24"/>
        </w:rPr>
        <w:t xml:space="preserve">dotčených </w:t>
      </w:r>
      <w:r w:rsidRPr="007114F7">
        <w:rPr>
          <w:rFonts w:ascii="Arial" w:hAnsi="Arial" w:cs="Arial"/>
          <w:sz w:val="24"/>
        </w:rPr>
        <w:t xml:space="preserve">částí stavby vodního díla hlavního odvodňovacího zřízení </w:t>
      </w:r>
      <w:proofErr w:type="spellStart"/>
      <w:r w:rsidRPr="007114F7">
        <w:rPr>
          <w:rFonts w:ascii="Arial" w:hAnsi="Arial" w:cs="Arial"/>
          <w:sz w:val="24"/>
        </w:rPr>
        <w:t>Domamyslice</w:t>
      </w:r>
      <w:proofErr w:type="spellEnd"/>
      <w:r w:rsidRPr="007114F7">
        <w:rPr>
          <w:rFonts w:ascii="Arial" w:hAnsi="Arial" w:cs="Arial"/>
          <w:sz w:val="24"/>
        </w:rPr>
        <w:t xml:space="preserve"> ve veřejném zájmu pro </w:t>
      </w:r>
      <w:r w:rsidR="00675511" w:rsidRPr="007114F7">
        <w:rPr>
          <w:rFonts w:ascii="Arial" w:hAnsi="Arial" w:cs="Arial"/>
          <w:sz w:val="24"/>
        </w:rPr>
        <w:t xml:space="preserve">umístění </w:t>
      </w:r>
      <w:r w:rsidRPr="007114F7">
        <w:rPr>
          <w:rFonts w:ascii="Arial" w:hAnsi="Arial" w:cs="Arial"/>
          <w:sz w:val="24"/>
        </w:rPr>
        <w:t>cyklostezky a pro rozvoj cyklistické dopravy lze dle názoru Odboru SÚMM považovat za důležitý zájem obce, kterým je možno odůvodnit jejich výkup včetně sjednané výše kupní ceny.</w:t>
      </w:r>
    </w:p>
    <w:p w:rsidR="004804B1" w:rsidRPr="007114F7" w:rsidRDefault="004804B1" w:rsidP="004804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 xml:space="preserve">Zajištění finančního krytí v souvislosti s výkupem předmětných částí stavby vodního díla hlavního odvodňovacího zřízení </w:t>
      </w:r>
      <w:proofErr w:type="spellStart"/>
      <w:r w:rsidRPr="007114F7">
        <w:rPr>
          <w:rFonts w:ascii="Arial" w:hAnsi="Arial" w:cs="Arial"/>
        </w:rPr>
        <w:t>Domamyslice</w:t>
      </w:r>
      <w:proofErr w:type="spellEnd"/>
      <w:r w:rsidRPr="007114F7">
        <w:rPr>
          <w:rFonts w:ascii="Arial" w:hAnsi="Arial" w:cs="Arial"/>
        </w:rPr>
        <w:t xml:space="preserve"> je řešeno v rámci návrhu rozpočtu města na rok 2025.</w:t>
      </w:r>
    </w:p>
    <w:p w:rsidR="00FD1707" w:rsidRPr="007114F7" w:rsidRDefault="00FD1707" w:rsidP="00301C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1707" w:rsidRPr="007114F7" w:rsidRDefault="00FD1707" w:rsidP="00FD1707">
      <w:pPr>
        <w:jc w:val="both"/>
        <w:rPr>
          <w:rFonts w:ascii="Arial" w:hAnsi="Arial" w:cs="Arial"/>
          <w:b/>
          <w:bCs/>
        </w:rPr>
      </w:pPr>
      <w:r w:rsidRPr="007114F7">
        <w:rPr>
          <w:rFonts w:ascii="Arial" w:hAnsi="Arial" w:cs="Arial"/>
          <w:b/>
          <w:bCs/>
        </w:rPr>
        <w:t xml:space="preserve">Materiál byl předložen k projednání na schůzi Finančního výboru dne </w:t>
      </w:r>
      <w:proofErr w:type="gramStart"/>
      <w:r w:rsidRPr="007114F7">
        <w:rPr>
          <w:rFonts w:ascii="Arial" w:hAnsi="Arial" w:cs="Arial"/>
          <w:b/>
          <w:bCs/>
        </w:rPr>
        <w:t>26.11.2024</w:t>
      </w:r>
      <w:proofErr w:type="gramEnd"/>
      <w:r w:rsidRPr="007114F7">
        <w:rPr>
          <w:rFonts w:ascii="Arial" w:hAnsi="Arial" w:cs="Arial"/>
          <w:b/>
          <w:bCs/>
        </w:rPr>
        <w:t>.</w:t>
      </w:r>
    </w:p>
    <w:p w:rsidR="00C01724" w:rsidRPr="007114F7" w:rsidRDefault="00C01724" w:rsidP="00301C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272"/>
        <w:gridCol w:w="2268"/>
        <w:gridCol w:w="4531"/>
      </w:tblGrid>
      <w:tr w:rsidR="007114F7" w:rsidRPr="007114F7" w:rsidTr="00AD55D7">
        <w:trPr>
          <w:jc w:val="center"/>
        </w:trPr>
        <w:tc>
          <w:tcPr>
            <w:tcW w:w="9488" w:type="dxa"/>
            <w:gridSpan w:val="4"/>
            <w:shd w:val="clear" w:color="auto" w:fill="EEECE1" w:themeFill="background2"/>
          </w:tcPr>
          <w:p w:rsidR="00301CCE" w:rsidRPr="007114F7" w:rsidRDefault="00301CCE" w:rsidP="00AD55D7">
            <w:pPr>
              <w:jc w:val="both"/>
              <w:rPr>
                <w:rFonts w:ascii="Arial" w:hAnsi="Arial" w:cs="Arial"/>
                <w:bCs/>
              </w:rPr>
            </w:pPr>
            <w:r w:rsidRPr="007114F7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7114F7">
              <w:rPr>
                <w:rFonts w:ascii="Arial" w:hAnsi="Arial" w:cs="Arial"/>
                <w:bCs/>
              </w:rPr>
              <w:t>MMPv</w:t>
            </w:r>
            <w:proofErr w:type="spellEnd"/>
            <w:r w:rsidRPr="007114F7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7114F7" w:rsidRPr="007114F7" w:rsidTr="00FF3FDE">
        <w:trPr>
          <w:jc w:val="center"/>
        </w:trPr>
        <w:tc>
          <w:tcPr>
            <w:tcW w:w="2689" w:type="dxa"/>
            <w:gridSpan w:val="2"/>
            <w:shd w:val="clear" w:color="auto" w:fill="EEECE1" w:themeFill="background2"/>
          </w:tcPr>
          <w:p w:rsidR="00301CCE" w:rsidRPr="007114F7" w:rsidRDefault="00301CCE" w:rsidP="00AD55D7">
            <w:pPr>
              <w:jc w:val="both"/>
              <w:rPr>
                <w:rFonts w:ascii="Arial" w:hAnsi="Arial" w:cs="Arial"/>
                <w:bCs/>
              </w:rPr>
            </w:pPr>
            <w:r w:rsidRPr="007114F7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7114F7">
              <w:rPr>
                <w:rFonts w:ascii="Arial" w:hAnsi="Arial" w:cs="Arial"/>
                <w:bCs/>
              </w:rPr>
              <w:t>MMPv</w:t>
            </w:r>
            <w:proofErr w:type="spellEnd"/>
            <w:r w:rsidRPr="007114F7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68" w:type="dxa"/>
            <w:shd w:val="clear" w:color="auto" w:fill="EEECE1" w:themeFill="background2"/>
          </w:tcPr>
          <w:p w:rsidR="00301CCE" w:rsidRPr="007114F7" w:rsidRDefault="00301CCE" w:rsidP="00AD55D7">
            <w:pPr>
              <w:jc w:val="both"/>
              <w:rPr>
                <w:rFonts w:ascii="Arial" w:hAnsi="Arial" w:cs="Arial"/>
                <w:bCs/>
              </w:rPr>
            </w:pPr>
            <w:r w:rsidRPr="007114F7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531" w:type="dxa"/>
            <w:shd w:val="clear" w:color="auto" w:fill="EEECE1" w:themeFill="background2"/>
          </w:tcPr>
          <w:p w:rsidR="00301CCE" w:rsidRPr="007114F7" w:rsidRDefault="00301CCE" w:rsidP="00AD55D7">
            <w:pPr>
              <w:jc w:val="both"/>
              <w:rPr>
                <w:rFonts w:ascii="Arial" w:hAnsi="Arial" w:cs="Arial"/>
                <w:bCs/>
              </w:rPr>
            </w:pPr>
            <w:r w:rsidRPr="007114F7">
              <w:rPr>
                <w:rFonts w:ascii="Arial" w:hAnsi="Arial" w:cs="Arial"/>
                <w:bCs/>
              </w:rPr>
              <w:t>Resumé</w:t>
            </w:r>
          </w:p>
        </w:tc>
      </w:tr>
      <w:tr w:rsidR="007114F7" w:rsidRPr="007114F7" w:rsidTr="00FF3FDE">
        <w:trPr>
          <w:jc w:val="center"/>
        </w:trPr>
        <w:tc>
          <w:tcPr>
            <w:tcW w:w="417" w:type="dxa"/>
          </w:tcPr>
          <w:p w:rsidR="00301CCE" w:rsidRPr="007114F7" w:rsidRDefault="00107296" w:rsidP="00107296">
            <w:pPr>
              <w:jc w:val="both"/>
              <w:rPr>
                <w:rFonts w:ascii="Arial" w:hAnsi="Arial" w:cs="Arial"/>
                <w:bCs/>
              </w:rPr>
            </w:pPr>
            <w:r w:rsidRPr="007114F7">
              <w:rPr>
                <w:rFonts w:ascii="Arial" w:hAnsi="Arial" w:cs="Arial"/>
                <w:bCs/>
              </w:rPr>
              <w:t>1</w:t>
            </w:r>
            <w:r w:rsidR="00301CCE" w:rsidRPr="007114F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72" w:type="dxa"/>
          </w:tcPr>
          <w:p w:rsidR="00301CCE" w:rsidRPr="007114F7" w:rsidRDefault="00301CCE" w:rsidP="00AD55D7">
            <w:pPr>
              <w:jc w:val="both"/>
              <w:rPr>
                <w:rFonts w:ascii="Arial" w:hAnsi="Arial" w:cs="Arial"/>
                <w:bCs/>
              </w:rPr>
            </w:pPr>
            <w:r w:rsidRPr="007114F7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68" w:type="dxa"/>
          </w:tcPr>
          <w:p w:rsidR="00301CCE" w:rsidRPr="007114F7" w:rsidRDefault="005104F2" w:rsidP="005104F2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7114F7">
              <w:rPr>
                <w:rFonts w:ascii="Arial" w:hAnsi="Arial" w:cs="Arial"/>
                <w:bCs/>
              </w:rPr>
              <w:t>22</w:t>
            </w:r>
            <w:r w:rsidR="00301CCE" w:rsidRPr="007114F7">
              <w:rPr>
                <w:rFonts w:ascii="Arial" w:hAnsi="Arial" w:cs="Arial"/>
                <w:bCs/>
              </w:rPr>
              <w:t>.</w:t>
            </w:r>
            <w:r w:rsidR="004804B1" w:rsidRPr="007114F7">
              <w:rPr>
                <w:rFonts w:ascii="Arial" w:hAnsi="Arial" w:cs="Arial"/>
                <w:bCs/>
              </w:rPr>
              <w:t>11</w:t>
            </w:r>
            <w:r w:rsidR="00301CCE" w:rsidRPr="007114F7">
              <w:rPr>
                <w:rFonts w:ascii="Arial" w:hAnsi="Arial" w:cs="Arial"/>
                <w:bCs/>
              </w:rPr>
              <w:t>.202</w:t>
            </w:r>
            <w:r w:rsidR="00EA0971" w:rsidRPr="007114F7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4531" w:type="dxa"/>
          </w:tcPr>
          <w:p w:rsidR="00301CCE" w:rsidRPr="007114F7" w:rsidRDefault="00301CCE" w:rsidP="00DB21F1">
            <w:pPr>
              <w:rPr>
                <w:rFonts w:ascii="Arial" w:hAnsi="Arial" w:cs="Arial"/>
                <w:bCs/>
              </w:rPr>
            </w:pPr>
            <w:r w:rsidRPr="007114F7">
              <w:rPr>
                <w:rFonts w:ascii="Arial" w:hAnsi="Arial" w:cs="Arial"/>
                <w:bCs/>
              </w:rPr>
              <w:t xml:space="preserve">doporučuje </w:t>
            </w:r>
          </w:p>
        </w:tc>
      </w:tr>
    </w:tbl>
    <w:p w:rsidR="00C01724" w:rsidRPr="007114F7" w:rsidRDefault="00C01724" w:rsidP="00B8533E">
      <w:pPr>
        <w:jc w:val="both"/>
        <w:rPr>
          <w:rFonts w:ascii="Arial" w:hAnsi="Arial" w:cs="Arial"/>
          <w:u w:val="single"/>
        </w:rPr>
      </w:pPr>
    </w:p>
    <w:p w:rsidR="00B8533E" w:rsidRPr="007114F7" w:rsidRDefault="00B8533E" w:rsidP="00B8533E">
      <w:pPr>
        <w:jc w:val="both"/>
        <w:rPr>
          <w:rFonts w:ascii="Arial" w:hAnsi="Arial" w:cs="Arial"/>
          <w:i/>
        </w:rPr>
      </w:pPr>
      <w:r w:rsidRPr="007114F7">
        <w:rPr>
          <w:rFonts w:ascii="Arial" w:hAnsi="Arial" w:cs="Arial"/>
          <w:u w:val="single"/>
        </w:rPr>
        <w:t>Příloh</w:t>
      </w:r>
      <w:r w:rsidR="00B9480A" w:rsidRPr="007114F7">
        <w:rPr>
          <w:rFonts w:ascii="Arial" w:hAnsi="Arial" w:cs="Arial"/>
          <w:u w:val="single"/>
        </w:rPr>
        <w:t>y</w:t>
      </w:r>
      <w:r w:rsidRPr="007114F7">
        <w:rPr>
          <w:rFonts w:ascii="Arial" w:hAnsi="Arial" w:cs="Arial"/>
          <w:u w:val="single"/>
        </w:rPr>
        <w:t>:</w:t>
      </w:r>
    </w:p>
    <w:p w:rsidR="00CB4E86" w:rsidRPr="007114F7" w:rsidRDefault="00A3077D" w:rsidP="00CB4E86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 xml:space="preserve">Příloha č. 1 – </w:t>
      </w:r>
      <w:r w:rsidR="00CB4E86" w:rsidRPr="007114F7">
        <w:rPr>
          <w:rFonts w:ascii="Arial" w:hAnsi="Arial" w:cs="Arial"/>
        </w:rPr>
        <w:t xml:space="preserve">Kupní smlouva č. </w:t>
      </w:r>
      <w:r w:rsidR="003D6567" w:rsidRPr="007114F7">
        <w:rPr>
          <w:rFonts w:ascii="Arial" w:hAnsi="Arial" w:cs="Arial"/>
        </w:rPr>
        <w:t>7001K24/53</w:t>
      </w:r>
    </w:p>
    <w:p w:rsidR="00EA0971" w:rsidRPr="007114F7" w:rsidRDefault="00A3077D" w:rsidP="00EA0971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 xml:space="preserve">Příloha č. 2 – </w:t>
      </w:r>
      <w:r w:rsidR="003D6567" w:rsidRPr="007114F7">
        <w:rPr>
          <w:rFonts w:ascii="Arial" w:hAnsi="Arial" w:cs="Arial"/>
        </w:rPr>
        <w:t>s</w:t>
      </w:r>
      <w:r w:rsidR="00EA0971" w:rsidRPr="007114F7">
        <w:rPr>
          <w:rFonts w:ascii="Arial" w:hAnsi="Arial" w:cs="Arial"/>
        </w:rPr>
        <w:t>itua</w:t>
      </w:r>
      <w:r w:rsidR="003D6567" w:rsidRPr="007114F7">
        <w:rPr>
          <w:rFonts w:ascii="Arial" w:hAnsi="Arial" w:cs="Arial"/>
        </w:rPr>
        <w:t xml:space="preserve">ce </w:t>
      </w:r>
    </w:p>
    <w:p w:rsidR="005301FF" w:rsidRPr="007114F7" w:rsidRDefault="005301FF" w:rsidP="00655B85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lastRenderedPageBreak/>
        <w:t>Příloha č. 1</w:t>
      </w:r>
    </w:p>
    <w:p w:rsidR="003D6567" w:rsidRPr="007114F7" w:rsidRDefault="003D6567" w:rsidP="003D6567">
      <w:pPr>
        <w:jc w:val="both"/>
      </w:pPr>
    </w:p>
    <w:p w:rsidR="003D6567" w:rsidRPr="007114F7" w:rsidRDefault="003D6567" w:rsidP="003D6567">
      <w:pPr>
        <w:pStyle w:val="StylDoprava"/>
      </w:pPr>
      <w:r w:rsidRPr="007114F7">
        <w:t>Čj.: SPU 411623/2024</w:t>
      </w:r>
    </w:p>
    <w:p w:rsidR="003D6567" w:rsidRPr="007114F7" w:rsidRDefault="003D6567" w:rsidP="003D6567">
      <w:pPr>
        <w:pStyle w:val="StylDoprava"/>
        <w:rPr>
          <w:rFonts w:cs="Arial"/>
        </w:rPr>
      </w:pPr>
      <w:r w:rsidRPr="007114F7">
        <w:rPr>
          <w:rFonts w:cs="Arial"/>
        </w:rPr>
        <w:t>UID: spuess920e22a0</w:t>
      </w:r>
    </w:p>
    <w:p w:rsidR="003D6567" w:rsidRPr="007114F7" w:rsidRDefault="003D6567" w:rsidP="003D6567">
      <w:pPr>
        <w:rPr>
          <w:rFonts w:ascii="Arial" w:hAnsi="Arial" w:cs="Arial"/>
          <w:b/>
          <w:sz w:val="20"/>
        </w:rPr>
      </w:pPr>
      <w:r w:rsidRPr="007114F7">
        <w:rPr>
          <w:rFonts w:ascii="Arial" w:hAnsi="Arial" w:cs="Arial"/>
          <w:b/>
          <w:sz w:val="20"/>
        </w:rPr>
        <w:t xml:space="preserve">Česká republika - Státní pozemkový úřad </w:t>
      </w:r>
    </w:p>
    <w:p w:rsidR="003D6567" w:rsidRPr="007114F7" w:rsidRDefault="003D6567" w:rsidP="003D6567">
      <w:pPr>
        <w:pStyle w:val="VnitrniText"/>
        <w:ind w:firstLine="0"/>
      </w:pPr>
      <w:r w:rsidRPr="007114F7">
        <w:t>se sídlem Praha 3 - Žižkov, Husinecká 1024/11a, PSČ 130 00</w:t>
      </w:r>
    </w:p>
    <w:p w:rsidR="003D6567" w:rsidRPr="007114F7" w:rsidRDefault="003D6567" w:rsidP="003D6567">
      <w:pPr>
        <w:pStyle w:val="VnitrniText"/>
        <w:ind w:firstLine="0"/>
      </w:pPr>
      <w:r w:rsidRPr="007114F7">
        <w:t>IČO: 01312774</w:t>
      </w:r>
    </w:p>
    <w:p w:rsidR="003D6567" w:rsidRPr="007114F7" w:rsidRDefault="003D6567" w:rsidP="003D6567">
      <w:pPr>
        <w:pStyle w:val="VnitrniText"/>
        <w:ind w:firstLine="0"/>
      </w:pPr>
      <w:r w:rsidRPr="007114F7">
        <w:t>DIČ: CZ01312774</w:t>
      </w:r>
    </w:p>
    <w:p w:rsidR="003D6567" w:rsidRPr="007114F7" w:rsidRDefault="003D6567" w:rsidP="003D6567">
      <w:pPr>
        <w:pStyle w:val="VnitrniText"/>
        <w:ind w:firstLine="0"/>
      </w:pPr>
      <w:r w:rsidRPr="007114F7">
        <w:t xml:space="preserve">Jednající: Ing. Svatava Maradová, MBA, ústřední ředitelka Státního pozemkového úřadu </w:t>
      </w:r>
    </w:p>
    <w:p w:rsidR="003D6567" w:rsidRPr="007114F7" w:rsidRDefault="003D6567" w:rsidP="003D6567">
      <w:pPr>
        <w:pStyle w:val="VnitrniText"/>
        <w:ind w:firstLine="0"/>
      </w:pPr>
      <w:r w:rsidRPr="007114F7">
        <w:t>(dále jen ”prodávající”)</w:t>
      </w:r>
    </w:p>
    <w:p w:rsidR="003D6567" w:rsidRPr="007114F7" w:rsidRDefault="003D6567" w:rsidP="003D6567">
      <w:pPr>
        <w:pStyle w:val="VnitrniText"/>
        <w:ind w:firstLine="0"/>
      </w:pPr>
    </w:p>
    <w:p w:rsidR="003D6567" w:rsidRPr="007114F7" w:rsidRDefault="003D6567" w:rsidP="003D6567">
      <w:pPr>
        <w:rPr>
          <w:rFonts w:ascii="Arial" w:hAnsi="Arial" w:cs="Arial"/>
          <w:sz w:val="20"/>
        </w:rPr>
      </w:pPr>
      <w:r w:rsidRPr="007114F7">
        <w:rPr>
          <w:rFonts w:ascii="Arial" w:hAnsi="Arial" w:cs="Arial"/>
          <w:sz w:val="20"/>
        </w:rPr>
        <w:t>a</w:t>
      </w:r>
    </w:p>
    <w:p w:rsidR="003D6567" w:rsidRPr="007114F7" w:rsidRDefault="003D6567" w:rsidP="003D6567">
      <w:pPr>
        <w:pStyle w:val="VnitrniText"/>
        <w:ind w:firstLine="0"/>
      </w:pPr>
    </w:p>
    <w:p w:rsidR="003D6567" w:rsidRPr="007114F7" w:rsidRDefault="003D6567" w:rsidP="003D6567">
      <w:pPr>
        <w:pStyle w:val="VnitrniText"/>
        <w:ind w:firstLine="0"/>
      </w:pPr>
      <w:r w:rsidRPr="007114F7">
        <w:rPr>
          <w:b/>
        </w:rPr>
        <w:t>Statutární město Prostějov</w:t>
      </w:r>
    </w:p>
    <w:p w:rsidR="003D6567" w:rsidRPr="007114F7" w:rsidRDefault="003D6567" w:rsidP="003D6567">
      <w:pPr>
        <w:pStyle w:val="VnitrniText"/>
        <w:ind w:firstLine="0"/>
      </w:pPr>
      <w:r w:rsidRPr="007114F7">
        <w:t xml:space="preserve">se sídlem nám. </w:t>
      </w:r>
      <w:proofErr w:type="spellStart"/>
      <w:proofErr w:type="gramStart"/>
      <w:r w:rsidRPr="007114F7">
        <w:t>T.G.Masaryka</w:t>
      </w:r>
      <w:proofErr w:type="spellEnd"/>
      <w:proofErr w:type="gramEnd"/>
      <w:r w:rsidRPr="007114F7">
        <w:t xml:space="preserve"> 130/14, Prostějov, PSČ 79601</w:t>
      </w:r>
    </w:p>
    <w:p w:rsidR="003D6567" w:rsidRPr="007114F7" w:rsidRDefault="003D6567" w:rsidP="003D6567">
      <w:pPr>
        <w:pStyle w:val="VnitrniText"/>
        <w:ind w:firstLine="0"/>
      </w:pPr>
      <w:r w:rsidRPr="007114F7">
        <w:t>IČO: 00288659</w:t>
      </w:r>
    </w:p>
    <w:p w:rsidR="003D6567" w:rsidRPr="007114F7" w:rsidRDefault="003D6567" w:rsidP="003D6567">
      <w:pPr>
        <w:pStyle w:val="VnitrniText"/>
        <w:ind w:firstLine="0"/>
      </w:pPr>
      <w:r w:rsidRPr="007114F7">
        <w:t xml:space="preserve">Zastoupené Mgr. Františkem Jurou, MBA, </w:t>
      </w:r>
      <w:proofErr w:type="gramStart"/>
      <w:r w:rsidRPr="007114F7">
        <w:t>LL.M.</w:t>
      </w:r>
      <w:proofErr w:type="gramEnd"/>
      <w:r w:rsidRPr="007114F7">
        <w:t>, primátorem města Prostějova</w:t>
      </w:r>
    </w:p>
    <w:p w:rsidR="003D6567" w:rsidRPr="007114F7" w:rsidRDefault="003D6567" w:rsidP="003D6567">
      <w:pPr>
        <w:pStyle w:val="VnitrniText"/>
        <w:ind w:firstLine="0"/>
      </w:pPr>
      <w:r w:rsidRPr="007114F7">
        <w:t>(dále jen "kupující")</w:t>
      </w:r>
    </w:p>
    <w:p w:rsidR="003D6567" w:rsidRPr="007114F7" w:rsidRDefault="003D6567" w:rsidP="003D6567">
      <w:pPr>
        <w:pStyle w:val="VnitrniText"/>
        <w:ind w:firstLine="0"/>
      </w:pPr>
    </w:p>
    <w:p w:rsidR="003D6567" w:rsidRPr="007114F7" w:rsidRDefault="003D6567" w:rsidP="003D6567">
      <w:pPr>
        <w:pStyle w:val="VnitrniText"/>
        <w:ind w:firstLine="0"/>
      </w:pPr>
    </w:p>
    <w:p w:rsidR="003D6567" w:rsidRPr="007114F7" w:rsidRDefault="003D6567" w:rsidP="003D6567">
      <w:pPr>
        <w:pStyle w:val="VnitrniText"/>
        <w:ind w:firstLine="0"/>
      </w:pPr>
      <w:bookmarkStart w:id="0" w:name="_Hlk69112296"/>
      <w:r w:rsidRPr="007114F7">
        <w:t xml:space="preserve">uzavírají podle § 2079 a násl. zákona č. 89/2012 Sb., občanský zákoník, ve znění pozdějších předpisů, v souladu s § 17 odst. 3 písmeno c) zákona č. 229/1991 Sb., o úpravě vlastnických vztahů k půdě a jinému zemědělskému majetku, ve znění pozdějších předpisů, tuto </w:t>
      </w:r>
    </w:p>
    <w:bookmarkEnd w:id="0"/>
    <w:p w:rsidR="003D6567" w:rsidRPr="007114F7" w:rsidRDefault="003D6567" w:rsidP="003D6567">
      <w:pPr>
        <w:rPr>
          <w:rFonts w:ascii="Arial" w:hAnsi="Arial" w:cs="Arial"/>
        </w:rPr>
      </w:pPr>
      <w:r w:rsidRPr="007114F7">
        <w:rPr>
          <w:rFonts w:ascii="Arial" w:hAnsi="Arial" w:cs="Arial"/>
        </w:rPr>
        <w:t xml:space="preserve"> </w:t>
      </w:r>
    </w:p>
    <w:p w:rsidR="003D6567" w:rsidRPr="007114F7" w:rsidRDefault="003D6567" w:rsidP="003D6567">
      <w:pPr>
        <w:spacing w:after="120" w:line="264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114F7">
        <w:rPr>
          <w:rFonts w:ascii="Arial" w:hAnsi="Arial" w:cs="Arial"/>
          <w:b/>
          <w:sz w:val="22"/>
          <w:szCs w:val="22"/>
        </w:rPr>
        <w:t>K U P N Í   S M L O U V U</w:t>
      </w:r>
      <w:proofErr w:type="gramEnd"/>
    </w:p>
    <w:p w:rsidR="003D6567" w:rsidRPr="007114F7" w:rsidRDefault="003D6567" w:rsidP="003D6567">
      <w:pPr>
        <w:jc w:val="center"/>
        <w:rPr>
          <w:rFonts w:ascii="Arial" w:hAnsi="Arial" w:cs="Arial"/>
          <w:b/>
          <w:bCs/>
          <w:sz w:val="20"/>
        </w:rPr>
      </w:pPr>
      <w:r w:rsidRPr="007114F7">
        <w:rPr>
          <w:rFonts w:ascii="Arial" w:hAnsi="Arial" w:cs="Arial"/>
          <w:b/>
          <w:bCs/>
          <w:sz w:val="20"/>
        </w:rPr>
        <w:t>č. 7001K24/53</w:t>
      </w:r>
    </w:p>
    <w:p w:rsidR="003D6567" w:rsidRPr="007114F7" w:rsidRDefault="003D6567" w:rsidP="003D6567">
      <w:pPr>
        <w:rPr>
          <w:rFonts w:ascii="Arial" w:hAnsi="Arial" w:cs="Arial"/>
        </w:rPr>
      </w:pPr>
    </w:p>
    <w:p w:rsidR="003D6567" w:rsidRPr="007114F7" w:rsidRDefault="003D6567" w:rsidP="003D6567">
      <w:pPr>
        <w:pStyle w:val="para"/>
      </w:pPr>
      <w:r w:rsidRPr="007114F7">
        <w:t xml:space="preserve">I. </w:t>
      </w:r>
    </w:p>
    <w:p w:rsidR="003D6567" w:rsidRPr="007114F7" w:rsidRDefault="003D6567" w:rsidP="003D6567">
      <w:pPr>
        <w:pStyle w:val="VnitrniText"/>
      </w:pPr>
      <w:r w:rsidRPr="007114F7">
        <w:t>1. Česká republika je vlastníkem a Státní pozemkový úřad (dále jen “SPÚ“) je ve smyslu zákona č. 503/2012 Sb., o Státním pozemkovém úřadu a o změně některých souvisejících zákonů, ve znění pozdějších předpisů (dále jen “zákon o SPÚ“), příslušný hospodařit s níže uvedenými nemovitými věcmi:</w:t>
      </w:r>
    </w:p>
    <w:p w:rsidR="003D6567" w:rsidRPr="007114F7" w:rsidRDefault="003D6567" w:rsidP="003D6567">
      <w:pPr>
        <w:pStyle w:val="VnitrniText"/>
        <w:ind w:firstLine="0"/>
      </w:pPr>
    </w:p>
    <w:p w:rsidR="003D6567" w:rsidRPr="007114F7" w:rsidRDefault="003D6567" w:rsidP="003D6567">
      <w:pPr>
        <w:pStyle w:val="VnitrniText"/>
        <w:ind w:firstLine="0"/>
      </w:pPr>
      <w:r w:rsidRPr="007114F7">
        <w:t>Nemovitý majetek, který nepodléhá zápisu do katastru nemovitostí: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3261"/>
        <w:gridCol w:w="1559"/>
        <w:gridCol w:w="2126"/>
      </w:tblGrid>
      <w:tr w:rsidR="007114F7" w:rsidRPr="007114F7" w:rsidTr="00407DE6">
        <w:trPr>
          <w:cantSplit/>
          <w:trHeight w:val="5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7114F7">
              <w:rPr>
                <w:rFonts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7114F7">
              <w:rPr>
                <w:rFonts w:cs="Arial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7114F7">
              <w:rPr>
                <w:rFonts w:cs="Arial"/>
                <w:b/>
                <w:bCs/>
                <w:sz w:val="18"/>
                <w:szCs w:val="18"/>
              </w:rPr>
              <w:t>Specifikace majetku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7114F7">
              <w:rPr>
                <w:rFonts w:cs="Arial"/>
                <w:b/>
                <w:bCs/>
                <w:sz w:val="18"/>
                <w:szCs w:val="18"/>
              </w:rPr>
              <w:t>Na parcele číslo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7114F7">
              <w:rPr>
                <w:rFonts w:cs="Arial"/>
                <w:b/>
                <w:bCs/>
                <w:sz w:val="18"/>
                <w:szCs w:val="18"/>
              </w:rPr>
              <w:t>Inventarizační číslo</w:t>
            </w:r>
          </w:p>
        </w:tc>
      </w:tr>
      <w:tr w:rsidR="007114F7" w:rsidRPr="007114F7" w:rsidTr="00407DE6">
        <w:trPr>
          <w:cantSplit/>
          <w:trHeight w:val="5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Prostějov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rPr>
                <w:sz w:val="18"/>
                <w:szCs w:val="18"/>
              </w:rPr>
            </w:pPr>
            <w:proofErr w:type="spellStart"/>
            <w:r w:rsidRPr="007114F7">
              <w:rPr>
                <w:sz w:val="18"/>
                <w:szCs w:val="18"/>
              </w:rPr>
              <w:t>Krasice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stavba vodního díla HOZ „DOMAMYSLICE, DOMAMYSLICE O1“, rok pořízení: 1970</w:t>
            </w:r>
          </w:p>
          <w:p w:rsidR="003D6567" w:rsidRPr="007114F7" w:rsidRDefault="003D6567" w:rsidP="00407DE6">
            <w:pPr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úsek: otevřená délka 5,8 m, zakrytá délka 0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457</w:t>
            </w:r>
          </w:p>
          <w:p w:rsidR="003D6567" w:rsidRPr="007114F7" w:rsidRDefault="003D6567" w:rsidP="00407DE6">
            <w:pPr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535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5070000060-11201000</w:t>
            </w:r>
          </w:p>
        </w:tc>
      </w:tr>
      <w:tr w:rsidR="003D6567" w:rsidRPr="007114F7" w:rsidTr="00407DE6">
        <w:trPr>
          <w:cantSplit/>
          <w:trHeight w:val="5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Prostějov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114F7">
              <w:rPr>
                <w:sz w:val="18"/>
                <w:szCs w:val="18"/>
              </w:rPr>
              <w:t>Krasice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 xml:space="preserve">stavba vodního díla HOZ DOMAMYSLICE </w:t>
            </w:r>
            <w:proofErr w:type="spellStart"/>
            <w:r w:rsidRPr="007114F7">
              <w:rPr>
                <w:sz w:val="18"/>
                <w:szCs w:val="18"/>
              </w:rPr>
              <w:t>DOMAMYSLICE</w:t>
            </w:r>
            <w:proofErr w:type="spellEnd"/>
            <w:r w:rsidRPr="007114F7">
              <w:rPr>
                <w:sz w:val="18"/>
                <w:szCs w:val="18"/>
              </w:rPr>
              <w:t xml:space="preserve"> O2, </w:t>
            </w:r>
          </w:p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rok pořízení: 1970</w:t>
            </w:r>
          </w:p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úsek: otevřená délka 8,2 m, zakrytá délka 0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394/2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14F7">
              <w:rPr>
                <w:sz w:val="18"/>
                <w:szCs w:val="18"/>
              </w:rPr>
              <w:t>5070000061-11201000</w:t>
            </w:r>
          </w:p>
        </w:tc>
      </w:tr>
    </w:tbl>
    <w:p w:rsidR="003D6567" w:rsidRPr="007114F7" w:rsidRDefault="003D6567" w:rsidP="003D6567">
      <w:pPr>
        <w:autoSpaceDE w:val="0"/>
        <w:autoSpaceDN w:val="0"/>
        <w:adjustRightInd w:val="0"/>
        <w:rPr>
          <w:sz w:val="18"/>
          <w:szCs w:val="18"/>
        </w:rPr>
      </w:pPr>
    </w:p>
    <w:p w:rsidR="003D6567" w:rsidRPr="007114F7" w:rsidRDefault="003D6567" w:rsidP="003D6567">
      <w:pPr>
        <w:pStyle w:val="VnitrniText"/>
      </w:pPr>
      <w:r w:rsidRPr="007114F7">
        <w:t>2. Stavba vodního díla HOZ není v souladu s § 509 zákona č. 89/2012 Sb., občanský zákoník, ve znění pozdějších předpisů ve vazbě na § 55 odst. 1 písm. e), § 56 zákona č. 254/2001 Sb., o vodách a o změně některých zákonů (vodní zákon), ve znění pozdějších předpisů a § 2 odst. 5 vyhlášky č. 225/2002 Sb., o podrobném vymezení staveb k vodohospodářským melioracím pozemků a jejich částí a způsobu a rozsahu péče o ně, součástí pozemku. Pro vlastníky pozemků, na kterých se HOZ nachází, platí povinnosti uvedené v § 56 odst. 4 a § 59a zákona č. 254/2001 Sb., o vodách a o změně některých zákonů (vodní zákon), ve znění pozdějších předpisů.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VnitrniText"/>
      </w:pPr>
      <w:r w:rsidRPr="007114F7">
        <w:t>3. Nemovitosti byly popsány a oceněny znaleckým posudkem č. 2660-67/24 vyp</w:t>
      </w:r>
      <w:r w:rsidR="00C51792">
        <w:t xml:space="preserve">racovaným dne </w:t>
      </w:r>
      <w:proofErr w:type="gramStart"/>
      <w:r w:rsidR="00C51792">
        <w:t>7.10.2024</w:t>
      </w:r>
      <w:proofErr w:type="gramEnd"/>
      <w:r w:rsidR="00C51792">
        <w:t xml:space="preserve"> znalcem</w:t>
      </w:r>
      <w:r w:rsidR="00B7136B">
        <w:t xml:space="preserve"> </w:t>
      </w:r>
      <w:r w:rsidR="00B7136B">
        <w:t>Ing. Miroslavem Schneiderem, I. P. Pavlova 87, 779 00 Olomouc</w:t>
      </w:r>
      <w:r w:rsidRPr="007114F7">
        <w:t>. Kupující prohlašuje, že se s obsahem znaleckého posudku seznámil.</w:t>
      </w:r>
    </w:p>
    <w:p w:rsidR="003D6567" w:rsidRPr="007114F7" w:rsidRDefault="003D6567" w:rsidP="003D6567">
      <w:pPr>
        <w:pStyle w:val="VnitrniText"/>
        <w:ind w:firstLine="0"/>
      </w:pPr>
    </w:p>
    <w:p w:rsidR="003D6567" w:rsidRPr="007114F7" w:rsidRDefault="003D6567" w:rsidP="003D6567">
      <w:pPr>
        <w:pStyle w:val="para"/>
      </w:pPr>
      <w:r w:rsidRPr="007114F7">
        <w:lastRenderedPageBreak/>
        <w:t>II.</w:t>
      </w:r>
    </w:p>
    <w:p w:rsidR="003D6567" w:rsidRPr="007114F7" w:rsidRDefault="003D6567" w:rsidP="003D6567">
      <w:pPr>
        <w:pStyle w:val="VnitrniText"/>
      </w:pPr>
      <w:r w:rsidRPr="007114F7">
        <w:t>1. Prodávající touto smlouvou prodává kupujícímu za účelem umožnění investiční výstavby – stavebního záměru s názvem „Cyklistická stezka Seloutky – I. etapa“, nemovitosti specifikované v čl. I. této smlouvy včetně všech součástí a příslušenství za kupní cenu ve výši 10 000 Kč (slovy: deset tisíc korun českých), a kupující je včetně součástí a příslušenství, ve stavu, v jakém se nacházejí ke dni podpisu smlouvy, kupuje. Vlastnické právo k nemovitostem přechází na kupujícího dnem oboustranného podpisu této smlouvy.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VnitrniText"/>
      </w:pPr>
      <w:r w:rsidRPr="007114F7">
        <w:t>2. Vedle kupní ceny je kupující povinen uhradit prodávajícímu i náklady znalečného ve výši 8 433,70 Kč.</w:t>
      </w:r>
    </w:p>
    <w:p w:rsidR="003D6567" w:rsidRPr="007114F7" w:rsidRDefault="003D6567" w:rsidP="003D6567">
      <w:pPr>
        <w:pStyle w:val="para"/>
      </w:pPr>
    </w:p>
    <w:p w:rsidR="003D6567" w:rsidRPr="007114F7" w:rsidRDefault="003D6567" w:rsidP="003D6567">
      <w:pPr>
        <w:pStyle w:val="para"/>
      </w:pPr>
      <w:r w:rsidRPr="007114F7">
        <w:t>III.</w:t>
      </w:r>
    </w:p>
    <w:p w:rsidR="003D6567" w:rsidRPr="007114F7" w:rsidRDefault="003D6567" w:rsidP="003D6567">
      <w:pPr>
        <w:pStyle w:val="VnitrniText"/>
      </w:pPr>
      <w:r w:rsidRPr="007114F7">
        <w:t>Kupní cenu specifikovanou v čl. II. i náklady znalečného, tj. celkem 18 433,70 Kč (slovy: osmnáct tisíc čtyři sta třicet tři koruny české sedmdesát haléřů), uhradil kupující prodávajícímu na účet SPÚ, vedený u České národní banky, č. </w:t>
      </w:r>
      <w:proofErr w:type="spellStart"/>
      <w:r w:rsidRPr="007114F7">
        <w:t>ú.</w:t>
      </w:r>
      <w:proofErr w:type="spellEnd"/>
      <w:r w:rsidRPr="007114F7">
        <w:t xml:space="preserve"> </w:t>
      </w:r>
      <w:r w:rsidRPr="007114F7">
        <w:rPr>
          <w:szCs w:val="22"/>
        </w:rPr>
        <w:t>19-3723001/0710, variabilní symbol 7001482453</w:t>
      </w:r>
      <w:r w:rsidRPr="007114F7">
        <w:t>, v plné výši před podpisem této smlouvy.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para"/>
      </w:pPr>
      <w:r w:rsidRPr="007114F7">
        <w:t>IV.</w:t>
      </w:r>
    </w:p>
    <w:p w:rsidR="003D6567" w:rsidRPr="007114F7" w:rsidRDefault="003D6567" w:rsidP="003D6567">
      <w:pPr>
        <w:pStyle w:val="VnitrniText"/>
      </w:pPr>
      <w:r w:rsidRPr="007114F7">
        <w:t>1. Obě smluvní strany shodně prohlašují, že jim nejsou známy žádné skutečnosti, které by uzavření smlouvy bránily. Kupující bere na vědomí skutečnost, že prodávající nezajišťuje zpřístupnění a vytyčování hranic pozemků ani staveb vodních děl.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VnitrniText"/>
      </w:pPr>
      <w:r w:rsidRPr="007114F7">
        <w:t>2.  Prodávané nemovitosti nejsou zatíženy užívacími právy třetích osob.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VnitrniText"/>
      </w:pPr>
      <w:r w:rsidRPr="007114F7">
        <w:t xml:space="preserve">3. Prodávající upozorňuje kupujícího, že dnem platnosti této smlouvy na kupujícího přechází práva a povinnosti vlastníka vodního díla, vyplývající z platných právních předpisů, zejména pak z § 59 zákona č. 254/2001 Sb., o vodách a o změně některých zákonů (vodní zákon), ve znění pozdějších předpisů. </w:t>
      </w:r>
    </w:p>
    <w:p w:rsidR="003D6567" w:rsidRPr="007114F7" w:rsidRDefault="003D6567" w:rsidP="003D6567"/>
    <w:p w:rsidR="003D6567" w:rsidRPr="007114F7" w:rsidRDefault="003D6567" w:rsidP="003D6567">
      <w:pPr>
        <w:pStyle w:val="para"/>
      </w:pPr>
      <w:r w:rsidRPr="007114F7">
        <w:t>V.</w:t>
      </w:r>
    </w:p>
    <w:p w:rsidR="003D6567" w:rsidRPr="007114F7" w:rsidRDefault="003D6567" w:rsidP="003D6567">
      <w:pPr>
        <w:pStyle w:val="VnitrniText"/>
      </w:pPr>
      <w:r w:rsidRPr="007114F7">
        <w:t>1. Smluvní strany se dohodly, že jakékoliv změny a doplňky této smlouvy jsou možné pouze písemnou formou na základě dohody smluvních stran. Případné dodatky ke smlouvě musí být vzestupně očíslovány.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VnitrniText"/>
      </w:pPr>
      <w:r w:rsidRPr="007114F7">
        <w:t>2. Tato smlouva je vyhotovena ve dvou (2) stejnopisech, z nichž každý má platnost originálu. Kupující obdrží jeden (1) stejnopis a jeden (1) je určen pro prodávajícího.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VnitrniText"/>
      </w:pPr>
      <w:r w:rsidRPr="007114F7">
        <w:t xml:space="preserve">3. Tato smlouva nabývá platnosti a účinnosti dnem jejího podpisu smluvními stranami. 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para"/>
      </w:pPr>
      <w:r w:rsidRPr="007114F7">
        <w:t>VI.</w:t>
      </w:r>
    </w:p>
    <w:p w:rsidR="003D6567" w:rsidRPr="007114F7" w:rsidRDefault="003D6567" w:rsidP="003D6567">
      <w:pPr>
        <w:pStyle w:val="VnitrniText"/>
      </w:pPr>
      <w:r w:rsidRPr="007114F7">
        <w:t>1. Smluvní strany po přečtení smlouvy prohlašují, že s jejím obsahem souhlasí a že tato smlouva je shodným projevem jejich vážné a svobodné vůle a na důkaz toho připojují své podpisy.</w:t>
      </w: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pStyle w:val="VnitrniText"/>
        <w:rPr>
          <w:lang w:val="en-GB"/>
        </w:rPr>
      </w:pPr>
      <w:r w:rsidRPr="007114F7">
        <w:t>2. Tato smlouva byla schválena Zastupitelstvem Statutárního města Prostějov na svém zasedání konaném dne ……………</w:t>
      </w:r>
      <w:proofErr w:type="gramStart"/>
      <w:r w:rsidRPr="007114F7">
        <w:t>….. usnesením</w:t>
      </w:r>
      <w:proofErr w:type="gramEnd"/>
      <w:r w:rsidRPr="007114F7">
        <w:t xml:space="preserve"> č. ………………………..</w:t>
      </w:r>
    </w:p>
    <w:p w:rsidR="003D6567" w:rsidRPr="007114F7" w:rsidRDefault="003D6567" w:rsidP="003D6567">
      <w:pPr>
        <w:pStyle w:val="VnitrniText"/>
        <w:rPr>
          <w:lang w:val="en-GB"/>
        </w:rPr>
      </w:pPr>
    </w:p>
    <w:p w:rsidR="003D6567" w:rsidRPr="007114F7" w:rsidRDefault="003D6567" w:rsidP="003D6567">
      <w:pPr>
        <w:pStyle w:val="VnitrniText"/>
      </w:pPr>
    </w:p>
    <w:p w:rsidR="003D6567" w:rsidRPr="007114F7" w:rsidRDefault="003D6567" w:rsidP="003D6567">
      <w:pPr>
        <w:rPr>
          <w:rFonts w:ascii="Arial" w:hAnsi="Arial" w:cs="Arial"/>
        </w:rPr>
      </w:pPr>
      <w:r w:rsidRPr="007114F7">
        <w:rPr>
          <w:rFonts w:ascii="Arial" w:hAnsi="Arial" w:cs="Arial"/>
        </w:rPr>
        <w:t xml:space="preserve"> </w:t>
      </w:r>
      <w:r w:rsidRPr="007114F7">
        <w:rPr>
          <w:rFonts w:ascii="Arial" w:hAnsi="Arial" w:cs="Arial"/>
        </w:rPr>
        <w:tab/>
      </w:r>
      <w:r w:rsidRPr="007114F7">
        <w:rPr>
          <w:rFonts w:ascii="Arial" w:hAnsi="Arial" w:cs="Arial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757"/>
      </w:tblGrid>
      <w:tr w:rsidR="007114F7" w:rsidRPr="007114F7" w:rsidTr="00407DE6">
        <w:tc>
          <w:tcPr>
            <w:tcW w:w="4888" w:type="dxa"/>
            <w:shd w:val="clear" w:color="auto" w:fill="auto"/>
            <w:hideMark/>
          </w:tcPr>
          <w:p w:rsidR="003D6567" w:rsidRPr="007114F7" w:rsidRDefault="003D6567" w:rsidP="00407DE6">
            <w:pPr>
              <w:pStyle w:val="VnitrniText"/>
              <w:ind w:firstLine="0"/>
            </w:pPr>
            <w:r w:rsidRPr="007114F7">
              <w:t xml:space="preserve">V Praze dne </w:t>
            </w:r>
          </w:p>
        </w:tc>
        <w:tc>
          <w:tcPr>
            <w:tcW w:w="4889" w:type="dxa"/>
            <w:shd w:val="clear" w:color="auto" w:fill="auto"/>
            <w:hideMark/>
          </w:tcPr>
          <w:p w:rsidR="003D6567" w:rsidRPr="007114F7" w:rsidRDefault="003D6567" w:rsidP="00407DE6">
            <w:pPr>
              <w:pStyle w:val="VnitrniText"/>
              <w:tabs>
                <w:tab w:val="left" w:pos="4820"/>
              </w:tabs>
              <w:ind w:firstLine="0"/>
            </w:pPr>
            <w:r w:rsidRPr="007114F7">
              <w:t xml:space="preserve">V Prostějově dne </w:t>
            </w:r>
          </w:p>
        </w:tc>
      </w:tr>
    </w:tbl>
    <w:p w:rsidR="003D6567" w:rsidRPr="007114F7" w:rsidRDefault="003D6567" w:rsidP="003D6567">
      <w:pPr>
        <w:rPr>
          <w:rFonts w:ascii="Arial" w:hAnsi="Arial" w:cs="Arial"/>
        </w:rPr>
      </w:pPr>
      <w:r w:rsidRPr="007114F7">
        <w:rPr>
          <w:rFonts w:ascii="Arial" w:hAnsi="Arial" w:cs="Arial"/>
        </w:rPr>
        <w:tab/>
      </w:r>
    </w:p>
    <w:p w:rsidR="003D6567" w:rsidRPr="007114F7" w:rsidRDefault="003D6567" w:rsidP="003D6567">
      <w:pPr>
        <w:rPr>
          <w:rFonts w:ascii="Arial" w:hAnsi="Arial" w:cs="Arial"/>
        </w:rPr>
      </w:pPr>
    </w:p>
    <w:p w:rsidR="003D6567" w:rsidRPr="007114F7" w:rsidRDefault="003D6567" w:rsidP="003D656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7114F7" w:rsidRPr="007114F7" w:rsidTr="00407DE6">
        <w:tc>
          <w:tcPr>
            <w:tcW w:w="4888" w:type="dxa"/>
            <w:shd w:val="clear" w:color="auto" w:fill="auto"/>
          </w:tcPr>
          <w:p w:rsidR="003D6567" w:rsidRPr="007114F7" w:rsidRDefault="003D6567" w:rsidP="00407DE6">
            <w:pPr>
              <w:pStyle w:val="VnitrniText"/>
              <w:ind w:firstLine="0"/>
            </w:pPr>
          </w:p>
        </w:tc>
        <w:tc>
          <w:tcPr>
            <w:tcW w:w="4889" w:type="dxa"/>
            <w:shd w:val="clear" w:color="auto" w:fill="auto"/>
          </w:tcPr>
          <w:p w:rsidR="003D6567" w:rsidRPr="007114F7" w:rsidRDefault="003D6567" w:rsidP="00407DE6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7114F7" w:rsidRPr="007114F7" w:rsidTr="00407DE6">
        <w:tc>
          <w:tcPr>
            <w:tcW w:w="4888" w:type="dxa"/>
            <w:shd w:val="clear" w:color="auto" w:fill="auto"/>
          </w:tcPr>
          <w:p w:rsidR="003D6567" w:rsidRPr="007114F7" w:rsidRDefault="003D6567" w:rsidP="00407DE6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7114F7"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:rsidR="003D6567" w:rsidRPr="007114F7" w:rsidRDefault="003D6567" w:rsidP="00407DE6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7114F7">
              <w:t>............................................</w:t>
            </w:r>
          </w:p>
        </w:tc>
      </w:tr>
      <w:tr w:rsidR="007114F7" w:rsidRPr="007114F7" w:rsidTr="00407DE6">
        <w:tc>
          <w:tcPr>
            <w:tcW w:w="4888" w:type="dxa"/>
            <w:shd w:val="clear" w:color="auto" w:fill="auto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14F7">
              <w:rPr>
                <w:rFonts w:ascii="Arial" w:hAnsi="Arial" w:cs="Arial"/>
                <w:sz w:val="20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14F7">
              <w:rPr>
                <w:rFonts w:ascii="Arial" w:hAnsi="Arial" w:cs="Arial"/>
                <w:sz w:val="20"/>
              </w:rPr>
              <w:t>Statutární město Prostějov</w:t>
            </w:r>
          </w:p>
        </w:tc>
      </w:tr>
      <w:tr w:rsidR="007114F7" w:rsidRPr="007114F7" w:rsidTr="00407DE6">
        <w:tc>
          <w:tcPr>
            <w:tcW w:w="4888" w:type="dxa"/>
            <w:shd w:val="clear" w:color="auto" w:fill="auto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14F7">
              <w:rPr>
                <w:rFonts w:ascii="Arial" w:hAnsi="Arial" w:cs="Arial"/>
                <w:sz w:val="20"/>
              </w:rPr>
              <w:t>ústřední ředitelka Státního pozemkového úřadu</w:t>
            </w:r>
          </w:p>
        </w:tc>
        <w:tc>
          <w:tcPr>
            <w:tcW w:w="4889" w:type="dxa"/>
            <w:shd w:val="clear" w:color="auto" w:fill="auto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14F7">
              <w:rPr>
                <w:rFonts w:ascii="Arial" w:hAnsi="Arial" w:cs="Arial"/>
                <w:sz w:val="20"/>
              </w:rPr>
              <w:t xml:space="preserve">primátor města Prostějova </w:t>
            </w:r>
          </w:p>
        </w:tc>
      </w:tr>
      <w:tr w:rsidR="007114F7" w:rsidRPr="007114F7" w:rsidTr="00407DE6">
        <w:tc>
          <w:tcPr>
            <w:tcW w:w="4888" w:type="dxa"/>
            <w:shd w:val="clear" w:color="auto" w:fill="auto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14F7">
              <w:rPr>
                <w:rFonts w:ascii="Arial" w:hAnsi="Arial" w:cs="Arial"/>
                <w:sz w:val="20"/>
              </w:rPr>
              <w:t>Ing. Svatava Maradová, MBA</w:t>
            </w:r>
          </w:p>
        </w:tc>
        <w:tc>
          <w:tcPr>
            <w:tcW w:w="4889" w:type="dxa"/>
            <w:shd w:val="clear" w:color="auto" w:fill="auto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14F7">
              <w:rPr>
                <w:rFonts w:ascii="Arial" w:hAnsi="Arial" w:cs="Arial"/>
                <w:sz w:val="20"/>
              </w:rPr>
              <w:t xml:space="preserve">Mgr. František Jura, MBA, </w:t>
            </w:r>
            <w:proofErr w:type="gramStart"/>
            <w:r w:rsidRPr="007114F7">
              <w:rPr>
                <w:rFonts w:ascii="Arial" w:hAnsi="Arial" w:cs="Arial"/>
                <w:sz w:val="20"/>
              </w:rPr>
              <w:t>LL.M.</w:t>
            </w:r>
            <w:proofErr w:type="gramEnd"/>
          </w:p>
        </w:tc>
      </w:tr>
      <w:tr w:rsidR="003D6567" w:rsidRPr="007114F7" w:rsidTr="00407DE6">
        <w:tc>
          <w:tcPr>
            <w:tcW w:w="4888" w:type="dxa"/>
            <w:shd w:val="clear" w:color="auto" w:fill="auto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14F7">
              <w:rPr>
                <w:rFonts w:ascii="Arial" w:hAnsi="Arial" w:cs="Arial"/>
                <w:sz w:val="20"/>
              </w:rPr>
              <w:t>prodávající</w:t>
            </w:r>
          </w:p>
        </w:tc>
        <w:tc>
          <w:tcPr>
            <w:tcW w:w="4889" w:type="dxa"/>
            <w:shd w:val="clear" w:color="auto" w:fill="auto"/>
          </w:tcPr>
          <w:p w:rsidR="003D6567" w:rsidRPr="007114F7" w:rsidRDefault="003D6567" w:rsidP="00407D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14F7">
              <w:rPr>
                <w:rFonts w:ascii="Arial" w:hAnsi="Arial" w:cs="Arial"/>
                <w:sz w:val="20"/>
              </w:rPr>
              <w:t>kupující</w:t>
            </w:r>
          </w:p>
        </w:tc>
      </w:tr>
    </w:tbl>
    <w:p w:rsidR="003D6567" w:rsidRPr="007114F7" w:rsidRDefault="003D6567" w:rsidP="00655B85">
      <w:pPr>
        <w:jc w:val="both"/>
        <w:rPr>
          <w:rFonts w:ascii="Arial" w:hAnsi="Arial" w:cs="Arial"/>
        </w:rPr>
      </w:pPr>
    </w:p>
    <w:p w:rsidR="00CB4E86" w:rsidRPr="007114F7" w:rsidRDefault="00CB4E86" w:rsidP="00655B85">
      <w:pPr>
        <w:jc w:val="both"/>
        <w:rPr>
          <w:rFonts w:ascii="Arial" w:hAnsi="Arial" w:cs="Arial"/>
        </w:rPr>
      </w:pPr>
    </w:p>
    <w:p w:rsidR="00CB4E86" w:rsidRPr="007114F7" w:rsidRDefault="00CB4E86" w:rsidP="00655B85">
      <w:pPr>
        <w:jc w:val="both"/>
        <w:rPr>
          <w:rFonts w:ascii="Arial" w:hAnsi="Arial" w:cs="Arial"/>
        </w:rPr>
      </w:pPr>
    </w:p>
    <w:p w:rsidR="00C51792" w:rsidRDefault="00C51792" w:rsidP="00655B85">
      <w:pPr>
        <w:jc w:val="both"/>
        <w:rPr>
          <w:rFonts w:ascii="Arial" w:hAnsi="Arial" w:cs="Arial"/>
        </w:rPr>
      </w:pPr>
    </w:p>
    <w:p w:rsidR="00C51792" w:rsidRDefault="00C51792" w:rsidP="00655B85">
      <w:pPr>
        <w:jc w:val="both"/>
        <w:rPr>
          <w:rFonts w:ascii="Arial" w:hAnsi="Arial" w:cs="Arial"/>
        </w:rPr>
      </w:pPr>
    </w:p>
    <w:p w:rsidR="00C51792" w:rsidRDefault="00C51792" w:rsidP="00655B85">
      <w:pPr>
        <w:jc w:val="both"/>
        <w:rPr>
          <w:rFonts w:ascii="Arial" w:hAnsi="Arial" w:cs="Arial"/>
        </w:rPr>
      </w:pPr>
    </w:p>
    <w:p w:rsidR="00CB4E86" w:rsidRPr="007114F7" w:rsidRDefault="00CB4E86" w:rsidP="00655B85">
      <w:pPr>
        <w:jc w:val="both"/>
        <w:rPr>
          <w:rFonts w:ascii="Arial" w:hAnsi="Arial" w:cs="Arial"/>
        </w:rPr>
      </w:pPr>
      <w:r w:rsidRPr="007114F7">
        <w:rPr>
          <w:rFonts w:ascii="Arial" w:hAnsi="Arial" w:cs="Arial"/>
        </w:rPr>
        <w:t>Příloha č. 2</w:t>
      </w:r>
    </w:p>
    <w:p w:rsidR="003D6567" w:rsidRPr="007114F7" w:rsidRDefault="003D6567" w:rsidP="00655B85">
      <w:pPr>
        <w:jc w:val="both"/>
        <w:rPr>
          <w:rFonts w:ascii="Arial" w:hAnsi="Arial" w:cs="Arial"/>
        </w:rPr>
      </w:pPr>
    </w:p>
    <w:p w:rsidR="003D6567" w:rsidRDefault="003D6567" w:rsidP="00655B85">
      <w:pPr>
        <w:jc w:val="both"/>
        <w:rPr>
          <w:rFonts w:ascii="Arial" w:hAnsi="Arial" w:cs="Arial"/>
        </w:rPr>
      </w:pPr>
      <w:r w:rsidRPr="007114F7">
        <w:rPr>
          <w:rFonts w:cs="Arial"/>
          <w:noProof/>
        </w:rPr>
        <w:drawing>
          <wp:inline distT="0" distB="0" distL="0" distR="0" wp14:anchorId="0C459A42" wp14:editId="653B9BE2">
            <wp:extent cx="5759450" cy="5566732"/>
            <wp:effectExtent l="0" t="0" r="0" b="0"/>
            <wp:docPr id="3" name="Obrázek 3" descr="C:\Users\vesela iva\Documents\Cyklistika\CS Seloutky PD 2023\Situace etapy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ela iva\Documents\Cyklistika\CS Seloutky PD 2023\Situace etapy.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6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92" w:rsidRDefault="00C51792" w:rsidP="00655B85">
      <w:pPr>
        <w:jc w:val="both"/>
        <w:rPr>
          <w:rFonts w:ascii="Arial" w:hAnsi="Arial" w:cs="Arial"/>
        </w:rPr>
      </w:pPr>
    </w:p>
    <w:p w:rsidR="00C51792" w:rsidRDefault="00C51792" w:rsidP="00655B85">
      <w:pPr>
        <w:jc w:val="both"/>
        <w:rPr>
          <w:rFonts w:ascii="Arial" w:hAnsi="Arial" w:cs="Arial"/>
        </w:rPr>
      </w:pPr>
    </w:p>
    <w:p w:rsidR="00C51792" w:rsidRDefault="00C51792" w:rsidP="00655B85">
      <w:pPr>
        <w:jc w:val="both"/>
        <w:rPr>
          <w:rFonts w:ascii="Arial" w:hAnsi="Arial" w:cs="Arial"/>
        </w:rPr>
      </w:pPr>
    </w:p>
    <w:p w:rsidR="00C51792" w:rsidRPr="007114F7" w:rsidRDefault="00C51792" w:rsidP="00655B85">
      <w:pPr>
        <w:jc w:val="both"/>
        <w:rPr>
          <w:rFonts w:ascii="Arial" w:hAnsi="Arial" w:cs="Arial"/>
        </w:rPr>
      </w:pPr>
      <w:bookmarkStart w:id="1" w:name="_GoBack"/>
      <w:bookmarkEnd w:id="1"/>
    </w:p>
    <w:sectPr w:rsidR="00C51792" w:rsidRPr="007114F7" w:rsidSect="00294FB9">
      <w:footerReference w:type="default" r:id="rId9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FF" w:rsidRDefault="001967FF" w:rsidP="00C71327">
      <w:r>
        <w:separator/>
      </w:r>
    </w:p>
  </w:endnote>
  <w:endnote w:type="continuationSeparator" w:id="0">
    <w:p w:rsidR="001967FF" w:rsidRDefault="001967FF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844E83" w:rsidRDefault="00FD1707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 m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ěsta Prostějova </w:t>
    </w:r>
    <w:r>
      <w:rPr>
        <w:rFonts w:ascii="Arial" w:eastAsiaTheme="majorEastAsia" w:hAnsi="Arial" w:cs="Arial"/>
        <w:sz w:val="20"/>
        <w:szCs w:val="20"/>
      </w:rPr>
      <w:t>03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65748C">
      <w:rPr>
        <w:rFonts w:ascii="Arial" w:eastAsiaTheme="majorEastAsia" w:hAnsi="Arial" w:cs="Arial"/>
        <w:sz w:val="20"/>
        <w:szCs w:val="20"/>
      </w:rPr>
      <w:t>1</w:t>
    </w:r>
    <w:r>
      <w:rPr>
        <w:rFonts w:ascii="Arial" w:eastAsiaTheme="majorEastAsia" w:hAnsi="Arial" w:cs="Arial"/>
        <w:sz w:val="20"/>
        <w:szCs w:val="20"/>
      </w:rPr>
      <w:t>2</w:t>
    </w:r>
    <w:r w:rsidR="00627234" w:rsidRPr="00844E83">
      <w:rPr>
        <w:rFonts w:ascii="Arial" w:eastAsiaTheme="majorEastAsia" w:hAnsi="Arial" w:cs="Arial"/>
        <w:sz w:val="20"/>
        <w:szCs w:val="20"/>
      </w:rPr>
      <w:t xml:space="preserve">. </w:t>
    </w:r>
    <w:r w:rsidR="00292627">
      <w:rPr>
        <w:rFonts w:ascii="Arial" w:eastAsiaTheme="majorEastAsia" w:hAnsi="Arial" w:cs="Arial"/>
        <w:sz w:val="20"/>
        <w:szCs w:val="20"/>
      </w:rPr>
      <w:t>20</w:t>
    </w:r>
    <w:r w:rsidR="00935FC7">
      <w:rPr>
        <w:rFonts w:ascii="Arial" w:eastAsiaTheme="majorEastAsia" w:hAnsi="Arial" w:cs="Arial"/>
        <w:sz w:val="20"/>
        <w:szCs w:val="20"/>
      </w:rPr>
      <w:t>2</w:t>
    </w:r>
    <w:r w:rsidR="00753E3B">
      <w:rPr>
        <w:rFonts w:ascii="Arial" w:eastAsiaTheme="majorEastAsia" w:hAnsi="Arial" w:cs="Arial"/>
        <w:sz w:val="20"/>
        <w:szCs w:val="20"/>
      </w:rPr>
      <w:t>4</w:t>
    </w:r>
    <w:r w:rsidR="00627234" w:rsidRPr="00844E83">
      <w:rPr>
        <w:rFonts w:ascii="Arial" w:eastAsiaTheme="majorEastAsia" w:hAnsi="Arial" w:cs="Arial"/>
        <w:sz w:val="20"/>
        <w:szCs w:val="20"/>
      </w:rPr>
      <w:tab/>
    </w:r>
    <w:r w:rsidR="00627234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844E83">
      <w:rPr>
        <w:rFonts w:ascii="Arial" w:eastAsiaTheme="minorEastAsia" w:hAnsi="Arial" w:cs="Arial"/>
        <w:sz w:val="20"/>
        <w:szCs w:val="20"/>
      </w:rPr>
      <w:fldChar w:fldCharType="begin"/>
    </w:r>
    <w:r w:rsidR="00627234" w:rsidRPr="00844E83">
      <w:rPr>
        <w:rFonts w:ascii="Arial" w:hAnsi="Arial" w:cs="Arial"/>
        <w:sz w:val="20"/>
        <w:szCs w:val="20"/>
      </w:rPr>
      <w:instrText>PAGE   \* MERGEFORMAT</w:instrText>
    </w:r>
    <w:r w:rsidR="00627234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CC00DD" w:rsidRPr="00CC00DD">
      <w:rPr>
        <w:rFonts w:ascii="Arial" w:eastAsiaTheme="majorEastAsia" w:hAnsi="Arial" w:cs="Arial"/>
        <w:noProof/>
        <w:sz w:val="20"/>
        <w:szCs w:val="20"/>
      </w:rPr>
      <w:t>4</w:t>
    </w:r>
    <w:r w:rsidR="00627234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F64BE4" w:rsidRDefault="00FD1707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Schválení v</w:t>
    </w:r>
    <w:r w:rsidR="003D6567" w:rsidRPr="003D6567">
      <w:rPr>
        <w:rFonts w:ascii="Arial" w:hAnsi="Arial" w:cs="Arial"/>
        <w:sz w:val="20"/>
        <w:szCs w:val="20"/>
      </w:rPr>
      <w:t>ýkup</w:t>
    </w:r>
    <w:r>
      <w:rPr>
        <w:rFonts w:ascii="Arial" w:hAnsi="Arial" w:cs="Arial"/>
        <w:sz w:val="20"/>
        <w:szCs w:val="20"/>
      </w:rPr>
      <w:t>u</w:t>
    </w:r>
    <w:r w:rsidR="003D6567" w:rsidRPr="003D6567">
      <w:rPr>
        <w:rFonts w:ascii="Arial" w:hAnsi="Arial" w:cs="Arial"/>
        <w:sz w:val="20"/>
        <w:szCs w:val="20"/>
      </w:rPr>
      <w:t xml:space="preserve"> částí hlavního odvodňovacího zařízení od Státního pozemkového úřadu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FF" w:rsidRDefault="001967FF" w:rsidP="00C71327">
      <w:r>
        <w:separator/>
      </w:r>
    </w:p>
  </w:footnote>
  <w:footnote w:type="continuationSeparator" w:id="0">
    <w:p w:rsidR="001967FF" w:rsidRDefault="001967FF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53B"/>
    <w:multiLevelType w:val="hybridMultilevel"/>
    <w:tmpl w:val="68F4D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059"/>
    <w:multiLevelType w:val="hybridMultilevel"/>
    <w:tmpl w:val="55B8E9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178B"/>
    <w:multiLevelType w:val="hybridMultilevel"/>
    <w:tmpl w:val="AE7C63A2"/>
    <w:lvl w:ilvl="0" w:tplc="6C348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845"/>
    <w:multiLevelType w:val="hybridMultilevel"/>
    <w:tmpl w:val="B156D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5E40"/>
    <w:multiLevelType w:val="hybridMultilevel"/>
    <w:tmpl w:val="D890B7E4"/>
    <w:lvl w:ilvl="0" w:tplc="5C9061D0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DA65C6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291042"/>
    <w:multiLevelType w:val="hybridMultilevel"/>
    <w:tmpl w:val="E0CA26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1207F"/>
    <w:multiLevelType w:val="hybridMultilevel"/>
    <w:tmpl w:val="9D007CE0"/>
    <w:lvl w:ilvl="0" w:tplc="23362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FB252D"/>
    <w:multiLevelType w:val="hybridMultilevel"/>
    <w:tmpl w:val="A9D8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E1939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736B7"/>
    <w:multiLevelType w:val="hybridMultilevel"/>
    <w:tmpl w:val="274261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158A1"/>
    <w:multiLevelType w:val="hybridMultilevel"/>
    <w:tmpl w:val="6D4A357E"/>
    <w:lvl w:ilvl="0" w:tplc="A55E82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B54A68"/>
    <w:multiLevelType w:val="hybridMultilevel"/>
    <w:tmpl w:val="C3C87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61BD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065D2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3ED"/>
    <w:rsid w:val="000049B8"/>
    <w:rsid w:val="000053CB"/>
    <w:rsid w:val="00005FF5"/>
    <w:rsid w:val="000073DD"/>
    <w:rsid w:val="0001373F"/>
    <w:rsid w:val="00017476"/>
    <w:rsid w:val="000203BC"/>
    <w:rsid w:val="00021846"/>
    <w:rsid w:val="0002313E"/>
    <w:rsid w:val="0002317C"/>
    <w:rsid w:val="000344A1"/>
    <w:rsid w:val="00037325"/>
    <w:rsid w:val="0004432C"/>
    <w:rsid w:val="000457CE"/>
    <w:rsid w:val="00045D9D"/>
    <w:rsid w:val="000508CF"/>
    <w:rsid w:val="00053382"/>
    <w:rsid w:val="00060F75"/>
    <w:rsid w:val="00065509"/>
    <w:rsid w:val="00072FEA"/>
    <w:rsid w:val="0007398F"/>
    <w:rsid w:val="00074655"/>
    <w:rsid w:val="00074D3C"/>
    <w:rsid w:val="000774DA"/>
    <w:rsid w:val="00077703"/>
    <w:rsid w:val="000923F0"/>
    <w:rsid w:val="00096EAC"/>
    <w:rsid w:val="00096F51"/>
    <w:rsid w:val="000A14CA"/>
    <w:rsid w:val="000A2277"/>
    <w:rsid w:val="000A2DB8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8A0"/>
    <w:rsid w:val="000C33B6"/>
    <w:rsid w:val="000C4027"/>
    <w:rsid w:val="000C63DB"/>
    <w:rsid w:val="000C6569"/>
    <w:rsid w:val="000D03E7"/>
    <w:rsid w:val="000D08CC"/>
    <w:rsid w:val="000D29A5"/>
    <w:rsid w:val="000D6ACF"/>
    <w:rsid w:val="000D727B"/>
    <w:rsid w:val="000D7652"/>
    <w:rsid w:val="000D783B"/>
    <w:rsid w:val="000D7CDE"/>
    <w:rsid w:val="000E040F"/>
    <w:rsid w:val="000E3F4B"/>
    <w:rsid w:val="000E4C34"/>
    <w:rsid w:val="000E6B0F"/>
    <w:rsid w:val="000E7EE7"/>
    <w:rsid w:val="000F0F02"/>
    <w:rsid w:val="000F4A64"/>
    <w:rsid w:val="001003BD"/>
    <w:rsid w:val="00100A26"/>
    <w:rsid w:val="001025BA"/>
    <w:rsid w:val="00102FB9"/>
    <w:rsid w:val="001045F0"/>
    <w:rsid w:val="00106384"/>
    <w:rsid w:val="00107296"/>
    <w:rsid w:val="001138F0"/>
    <w:rsid w:val="00117112"/>
    <w:rsid w:val="001178CF"/>
    <w:rsid w:val="001205EA"/>
    <w:rsid w:val="0012120A"/>
    <w:rsid w:val="0012131C"/>
    <w:rsid w:val="001233F0"/>
    <w:rsid w:val="001235F2"/>
    <w:rsid w:val="0012717B"/>
    <w:rsid w:val="00127E8D"/>
    <w:rsid w:val="0013267A"/>
    <w:rsid w:val="00134F8D"/>
    <w:rsid w:val="001362E9"/>
    <w:rsid w:val="001366DA"/>
    <w:rsid w:val="00137473"/>
    <w:rsid w:val="00142E6F"/>
    <w:rsid w:val="001458AB"/>
    <w:rsid w:val="00145965"/>
    <w:rsid w:val="0014727B"/>
    <w:rsid w:val="00150024"/>
    <w:rsid w:val="001509F9"/>
    <w:rsid w:val="00150B50"/>
    <w:rsid w:val="00153A1E"/>
    <w:rsid w:val="001557E3"/>
    <w:rsid w:val="00160412"/>
    <w:rsid w:val="00160D2E"/>
    <w:rsid w:val="00161D50"/>
    <w:rsid w:val="00163E82"/>
    <w:rsid w:val="001648E0"/>
    <w:rsid w:val="001664FE"/>
    <w:rsid w:val="001739F8"/>
    <w:rsid w:val="00173CA9"/>
    <w:rsid w:val="001750F6"/>
    <w:rsid w:val="0017637F"/>
    <w:rsid w:val="00180E1C"/>
    <w:rsid w:val="001822FE"/>
    <w:rsid w:val="00183401"/>
    <w:rsid w:val="001865DA"/>
    <w:rsid w:val="001939C8"/>
    <w:rsid w:val="001957AD"/>
    <w:rsid w:val="00196276"/>
    <w:rsid w:val="00196279"/>
    <w:rsid w:val="001967FF"/>
    <w:rsid w:val="0019680B"/>
    <w:rsid w:val="0019717B"/>
    <w:rsid w:val="00197250"/>
    <w:rsid w:val="001A0D81"/>
    <w:rsid w:val="001A381B"/>
    <w:rsid w:val="001A612C"/>
    <w:rsid w:val="001A6F78"/>
    <w:rsid w:val="001B05C6"/>
    <w:rsid w:val="001B0CCB"/>
    <w:rsid w:val="001B2461"/>
    <w:rsid w:val="001B330F"/>
    <w:rsid w:val="001B3A80"/>
    <w:rsid w:val="001B5939"/>
    <w:rsid w:val="001C0231"/>
    <w:rsid w:val="001C26AA"/>
    <w:rsid w:val="001C340C"/>
    <w:rsid w:val="001C39BD"/>
    <w:rsid w:val="001C65CE"/>
    <w:rsid w:val="001C77F1"/>
    <w:rsid w:val="001D2490"/>
    <w:rsid w:val="001D3E9C"/>
    <w:rsid w:val="001D495A"/>
    <w:rsid w:val="001D4ABA"/>
    <w:rsid w:val="001D59C9"/>
    <w:rsid w:val="001D5A87"/>
    <w:rsid w:val="001D5BC8"/>
    <w:rsid w:val="001D682D"/>
    <w:rsid w:val="001D6CE7"/>
    <w:rsid w:val="001E245E"/>
    <w:rsid w:val="001E27AA"/>
    <w:rsid w:val="001E2C6F"/>
    <w:rsid w:val="001E3053"/>
    <w:rsid w:val="001E50B5"/>
    <w:rsid w:val="001E6BBA"/>
    <w:rsid w:val="001E71EB"/>
    <w:rsid w:val="001F1341"/>
    <w:rsid w:val="001F2786"/>
    <w:rsid w:val="001F326E"/>
    <w:rsid w:val="001F4CF3"/>
    <w:rsid w:val="001F6814"/>
    <w:rsid w:val="001F6A32"/>
    <w:rsid w:val="001F7AE6"/>
    <w:rsid w:val="002002E8"/>
    <w:rsid w:val="00202B72"/>
    <w:rsid w:val="00204BCF"/>
    <w:rsid w:val="002106F8"/>
    <w:rsid w:val="00211B3D"/>
    <w:rsid w:val="00213001"/>
    <w:rsid w:val="00213085"/>
    <w:rsid w:val="00217A1B"/>
    <w:rsid w:val="00222719"/>
    <w:rsid w:val="0022312F"/>
    <w:rsid w:val="002248B2"/>
    <w:rsid w:val="002250CC"/>
    <w:rsid w:val="0022605C"/>
    <w:rsid w:val="00226351"/>
    <w:rsid w:val="00227315"/>
    <w:rsid w:val="00234B4B"/>
    <w:rsid w:val="00240C6E"/>
    <w:rsid w:val="00244B64"/>
    <w:rsid w:val="00245841"/>
    <w:rsid w:val="00250140"/>
    <w:rsid w:val="002510B9"/>
    <w:rsid w:val="002563EF"/>
    <w:rsid w:val="00261EB7"/>
    <w:rsid w:val="002623EC"/>
    <w:rsid w:val="00264296"/>
    <w:rsid w:val="00265113"/>
    <w:rsid w:val="002652AC"/>
    <w:rsid w:val="00267B0A"/>
    <w:rsid w:val="00270F30"/>
    <w:rsid w:val="002730DC"/>
    <w:rsid w:val="0027402C"/>
    <w:rsid w:val="00274FC6"/>
    <w:rsid w:val="00281D52"/>
    <w:rsid w:val="0028224B"/>
    <w:rsid w:val="00284CB3"/>
    <w:rsid w:val="00285A28"/>
    <w:rsid w:val="002875A2"/>
    <w:rsid w:val="0029005C"/>
    <w:rsid w:val="002909CB"/>
    <w:rsid w:val="00290EA2"/>
    <w:rsid w:val="002915E9"/>
    <w:rsid w:val="00291C86"/>
    <w:rsid w:val="00292627"/>
    <w:rsid w:val="00292B12"/>
    <w:rsid w:val="00294FB9"/>
    <w:rsid w:val="002956E9"/>
    <w:rsid w:val="002971A4"/>
    <w:rsid w:val="00297BB4"/>
    <w:rsid w:val="002A17B0"/>
    <w:rsid w:val="002A6A70"/>
    <w:rsid w:val="002A6D41"/>
    <w:rsid w:val="002A7199"/>
    <w:rsid w:val="002B2584"/>
    <w:rsid w:val="002B5194"/>
    <w:rsid w:val="002B666E"/>
    <w:rsid w:val="002B76A2"/>
    <w:rsid w:val="002B7957"/>
    <w:rsid w:val="002C0192"/>
    <w:rsid w:val="002C48B9"/>
    <w:rsid w:val="002C4BD8"/>
    <w:rsid w:val="002C5060"/>
    <w:rsid w:val="002D0354"/>
    <w:rsid w:val="002D29C0"/>
    <w:rsid w:val="002F005B"/>
    <w:rsid w:val="002F33E8"/>
    <w:rsid w:val="002F797F"/>
    <w:rsid w:val="00301CCE"/>
    <w:rsid w:val="00307384"/>
    <w:rsid w:val="003074FB"/>
    <w:rsid w:val="00312F59"/>
    <w:rsid w:val="00314E32"/>
    <w:rsid w:val="00316B48"/>
    <w:rsid w:val="003175FA"/>
    <w:rsid w:val="0032568A"/>
    <w:rsid w:val="003316CA"/>
    <w:rsid w:val="0033250B"/>
    <w:rsid w:val="0033417B"/>
    <w:rsid w:val="003343C4"/>
    <w:rsid w:val="00334977"/>
    <w:rsid w:val="00336D98"/>
    <w:rsid w:val="00347C0D"/>
    <w:rsid w:val="00350993"/>
    <w:rsid w:val="00350BEB"/>
    <w:rsid w:val="003541B9"/>
    <w:rsid w:val="00354CAE"/>
    <w:rsid w:val="00362C75"/>
    <w:rsid w:val="00362F9B"/>
    <w:rsid w:val="00364D83"/>
    <w:rsid w:val="00366D9C"/>
    <w:rsid w:val="003700BA"/>
    <w:rsid w:val="003746EB"/>
    <w:rsid w:val="003762B9"/>
    <w:rsid w:val="00376AEC"/>
    <w:rsid w:val="0038055D"/>
    <w:rsid w:val="0038132C"/>
    <w:rsid w:val="00385EF5"/>
    <w:rsid w:val="00392248"/>
    <w:rsid w:val="00393A85"/>
    <w:rsid w:val="00394D62"/>
    <w:rsid w:val="00395364"/>
    <w:rsid w:val="00395A55"/>
    <w:rsid w:val="00397345"/>
    <w:rsid w:val="003A1380"/>
    <w:rsid w:val="003A39E4"/>
    <w:rsid w:val="003A6291"/>
    <w:rsid w:val="003B07CB"/>
    <w:rsid w:val="003B5A74"/>
    <w:rsid w:val="003B6094"/>
    <w:rsid w:val="003B695D"/>
    <w:rsid w:val="003C0211"/>
    <w:rsid w:val="003C18A3"/>
    <w:rsid w:val="003C4520"/>
    <w:rsid w:val="003C73B9"/>
    <w:rsid w:val="003C78D9"/>
    <w:rsid w:val="003D0DF3"/>
    <w:rsid w:val="003D4115"/>
    <w:rsid w:val="003D4214"/>
    <w:rsid w:val="003D4BCB"/>
    <w:rsid w:val="003D6567"/>
    <w:rsid w:val="003D72D8"/>
    <w:rsid w:val="003D7625"/>
    <w:rsid w:val="003D7ABD"/>
    <w:rsid w:val="003D7C96"/>
    <w:rsid w:val="003E05B5"/>
    <w:rsid w:val="003E51C9"/>
    <w:rsid w:val="003E5E5C"/>
    <w:rsid w:val="003E6816"/>
    <w:rsid w:val="003F2EC3"/>
    <w:rsid w:val="003F480D"/>
    <w:rsid w:val="004003B1"/>
    <w:rsid w:val="00404F71"/>
    <w:rsid w:val="00414DA0"/>
    <w:rsid w:val="0042052F"/>
    <w:rsid w:val="00423569"/>
    <w:rsid w:val="0042683F"/>
    <w:rsid w:val="00427CAF"/>
    <w:rsid w:val="004301C7"/>
    <w:rsid w:val="00431241"/>
    <w:rsid w:val="004364EA"/>
    <w:rsid w:val="004400F2"/>
    <w:rsid w:val="00440F32"/>
    <w:rsid w:val="00442725"/>
    <w:rsid w:val="00442CDC"/>
    <w:rsid w:val="004448D1"/>
    <w:rsid w:val="00444F5A"/>
    <w:rsid w:val="004458B9"/>
    <w:rsid w:val="0045140A"/>
    <w:rsid w:val="00451BE9"/>
    <w:rsid w:val="00452B76"/>
    <w:rsid w:val="004538EE"/>
    <w:rsid w:val="0045413E"/>
    <w:rsid w:val="00456DF7"/>
    <w:rsid w:val="00456F4A"/>
    <w:rsid w:val="0046142F"/>
    <w:rsid w:val="004628AA"/>
    <w:rsid w:val="00463126"/>
    <w:rsid w:val="00464999"/>
    <w:rsid w:val="00464D60"/>
    <w:rsid w:val="00467A47"/>
    <w:rsid w:val="00473893"/>
    <w:rsid w:val="00475B01"/>
    <w:rsid w:val="0047637D"/>
    <w:rsid w:val="00477CFE"/>
    <w:rsid w:val="004804B1"/>
    <w:rsid w:val="004861BF"/>
    <w:rsid w:val="00490073"/>
    <w:rsid w:val="00491458"/>
    <w:rsid w:val="0049506E"/>
    <w:rsid w:val="004A08BB"/>
    <w:rsid w:val="004A70BD"/>
    <w:rsid w:val="004B0DE3"/>
    <w:rsid w:val="004B1B38"/>
    <w:rsid w:val="004B2F96"/>
    <w:rsid w:val="004B71ED"/>
    <w:rsid w:val="004B797A"/>
    <w:rsid w:val="004D463D"/>
    <w:rsid w:val="004D4BE0"/>
    <w:rsid w:val="004D7526"/>
    <w:rsid w:val="004E0BDC"/>
    <w:rsid w:val="004E1B46"/>
    <w:rsid w:val="004E4F4B"/>
    <w:rsid w:val="00500E98"/>
    <w:rsid w:val="00504426"/>
    <w:rsid w:val="0050637B"/>
    <w:rsid w:val="005104F2"/>
    <w:rsid w:val="0051078C"/>
    <w:rsid w:val="0051101F"/>
    <w:rsid w:val="00515DC5"/>
    <w:rsid w:val="00515E64"/>
    <w:rsid w:val="00521B0A"/>
    <w:rsid w:val="00523872"/>
    <w:rsid w:val="00527154"/>
    <w:rsid w:val="005272E8"/>
    <w:rsid w:val="005301FF"/>
    <w:rsid w:val="0053363B"/>
    <w:rsid w:val="0053449E"/>
    <w:rsid w:val="00537970"/>
    <w:rsid w:val="00541B93"/>
    <w:rsid w:val="005420D5"/>
    <w:rsid w:val="005423AC"/>
    <w:rsid w:val="00546843"/>
    <w:rsid w:val="005513C7"/>
    <w:rsid w:val="00554E90"/>
    <w:rsid w:val="00556778"/>
    <w:rsid w:val="005579CC"/>
    <w:rsid w:val="005605D4"/>
    <w:rsid w:val="00562374"/>
    <w:rsid w:val="00563ECE"/>
    <w:rsid w:val="00564BB4"/>
    <w:rsid w:val="00564E6B"/>
    <w:rsid w:val="00570972"/>
    <w:rsid w:val="00577408"/>
    <w:rsid w:val="00577CC9"/>
    <w:rsid w:val="00580E50"/>
    <w:rsid w:val="00582691"/>
    <w:rsid w:val="00582C6A"/>
    <w:rsid w:val="00583355"/>
    <w:rsid w:val="00587190"/>
    <w:rsid w:val="005938E9"/>
    <w:rsid w:val="00597BE0"/>
    <w:rsid w:val="00597C44"/>
    <w:rsid w:val="005A0A7C"/>
    <w:rsid w:val="005A46B6"/>
    <w:rsid w:val="005A59BB"/>
    <w:rsid w:val="005A7000"/>
    <w:rsid w:val="005B1243"/>
    <w:rsid w:val="005B2229"/>
    <w:rsid w:val="005B4905"/>
    <w:rsid w:val="005B536A"/>
    <w:rsid w:val="005C0595"/>
    <w:rsid w:val="005C0E9B"/>
    <w:rsid w:val="005C55D0"/>
    <w:rsid w:val="005E06A8"/>
    <w:rsid w:val="005E0897"/>
    <w:rsid w:val="005E1B64"/>
    <w:rsid w:val="005E2D1F"/>
    <w:rsid w:val="005E2DC1"/>
    <w:rsid w:val="005F0AD1"/>
    <w:rsid w:val="005F1B0D"/>
    <w:rsid w:val="005F28D2"/>
    <w:rsid w:val="005F2BEE"/>
    <w:rsid w:val="005F3E31"/>
    <w:rsid w:val="005F549A"/>
    <w:rsid w:val="00600780"/>
    <w:rsid w:val="0060112E"/>
    <w:rsid w:val="00603EA6"/>
    <w:rsid w:val="006118A6"/>
    <w:rsid w:val="00612BCC"/>
    <w:rsid w:val="00615715"/>
    <w:rsid w:val="00617470"/>
    <w:rsid w:val="00617492"/>
    <w:rsid w:val="006215FA"/>
    <w:rsid w:val="006219F0"/>
    <w:rsid w:val="00622C96"/>
    <w:rsid w:val="0062436D"/>
    <w:rsid w:val="00627234"/>
    <w:rsid w:val="0063058A"/>
    <w:rsid w:val="00630FC3"/>
    <w:rsid w:val="00630FF8"/>
    <w:rsid w:val="0063406E"/>
    <w:rsid w:val="00634238"/>
    <w:rsid w:val="0063439B"/>
    <w:rsid w:val="00634B66"/>
    <w:rsid w:val="0063501F"/>
    <w:rsid w:val="00635192"/>
    <w:rsid w:val="0063607F"/>
    <w:rsid w:val="00641E6E"/>
    <w:rsid w:val="00642540"/>
    <w:rsid w:val="00643BC9"/>
    <w:rsid w:val="00644216"/>
    <w:rsid w:val="006448CA"/>
    <w:rsid w:val="00644E7C"/>
    <w:rsid w:val="0065331D"/>
    <w:rsid w:val="006555E9"/>
    <w:rsid w:val="006556CB"/>
    <w:rsid w:val="00655B85"/>
    <w:rsid w:val="0065748C"/>
    <w:rsid w:val="00665DE0"/>
    <w:rsid w:val="00666A71"/>
    <w:rsid w:val="00673F5F"/>
    <w:rsid w:val="00675511"/>
    <w:rsid w:val="0067553C"/>
    <w:rsid w:val="0067615A"/>
    <w:rsid w:val="00676D7C"/>
    <w:rsid w:val="0068082A"/>
    <w:rsid w:val="00690806"/>
    <w:rsid w:val="0069459A"/>
    <w:rsid w:val="0069580F"/>
    <w:rsid w:val="00695C3E"/>
    <w:rsid w:val="006A461B"/>
    <w:rsid w:val="006A75FA"/>
    <w:rsid w:val="006B3269"/>
    <w:rsid w:val="006B3381"/>
    <w:rsid w:val="006B5093"/>
    <w:rsid w:val="006B6171"/>
    <w:rsid w:val="006C0AFE"/>
    <w:rsid w:val="006C2FCA"/>
    <w:rsid w:val="006C3639"/>
    <w:rsid w:val="006C6558"/>
    <w:rsid w:val="006C67B5"/>
    <w:rsid w:val="006C6D83"/>
    <w:rsid w:val="006E2AEE"/>
    <w:rsid w:val="006E5699"/>
    <w:rsid w:val="006E772C"/>
    <w:rsid w:val="006F2439"/>
    <w:rsid w:val="006F35E2"/>
    <w:rsid w:val="006F60F1"/>
    <w:rsid w:val="00701BEE"/>
    <w:rsid w:val="00702BD4"/>
    <w:rsid w:val="007057F5"/>
    <w:rsid w:val="00710CAD"/>
    <w:rsid w:val="007114F7"/>
    <w:rsid w:val="007125D4"/>
    <w:rsid w:val="007178DC"/>
    <w:rsid w:val="00722582"/>
    <w:rsid w:val="007234FD"/>
    <w:rsid w:val="00724725"/>
    <w:rsid w:val="00725425"/>
    <w:rsid w:val="00725624"/>
    <w:rsid w:val="00727C1D"/>
    <w:rsid w:val="0073125A"/>
    <w:rsid w:val="00734D8D"/>
    <w:rsid w:val="0073576D"/>
    <w:rsid w:val="007366AF"/>
    <w:rsid w:val="007401B9"/>
    <w:rsid w:val="00740BDB"/>
    <w:rsid w:val="00744818"/>
    <w:rsid w:val="00753202"/>
    <w:rsid w:val="00753E3B"/>
    <w:rsid w:val="007546F9"/>
    <w:rsid w:val="00757685"/>
    <w:rsid w:val="007621E1"/>
    <w:rsid w:val="007623C6"/>
    <w:rsid w:val="00762846"/>
    <w:rsid w:val="00764AC4"/>
    <w:rsid w:val="0077576D"/>
    <w:rsid w:val="00776857"/>
    <w:rsid w:val="007803AD"/>
    <w:rsid w:val="0078179C"/>
    <w:rsid w:val="00781E86"/>
    <w:rsid w:val="00783AEC"/>
    <w:rsid w:val="0079011C"/>
    <w:rsid w:val="007901B2"/>
    <w:rsid w:val="007906AD"/>
    <w:rsid w:val="00793C59"/>
    <w:rsid w:val="00796497"/>
    <w:rsid w:val="00797CEA"/>
    <w:rsid w:val="007A039F"/>
    <w:rsid w:val="007A5F4B"/>
    <w:rsid w:val="007B1CD5"/>
    <w:rsid w:val="007B2561"/>
    <w:rsid w:val="007B44C9"/>
    <w:rsid w:val="007B4DC6"/>
    <w:rsid w:val="007C2ECF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E4035"/>
    <w:rsid w:val="007F1C72"/>
    <w:rsid w:val="007F1D75"/>
    <w:rsid w:val="007F2D29"/>
    <w:rsid w:val="007F4746"/>
    <w:rsid w:val="007F5274"/>
    <w:rsid w:val="0080078B"/>
    <w:rsid w:val="00802B7D"/>
    <w:rsid w:val="00804727"/>
    <w:rsid w:val="0080561A"/>
    <w:rsid w:val="00805B14"/>
    <w:rsid w:val="00807414"/>
    <w:rsid w:val="00810A67"/>
    <w:rsid w:val="00810E90"/>
    <w:rsid w:val="0081757F"/>
    <w:rsid w:val="00820370"/>
    <w:rsid w:val="00822D80"/>
    <w:rsid w:val="008247D8"/>
    <w:rsid w:val="00832AFF"/>
    <w:rsid w:val="0084174D"/>
    <w:rsid w:val="008431E6"/>
    <w:rsid w:val="00844604"/>
    <w:rsid w:val="00844E83"/>
    <w:rsid w:val="0084537E"/>
    <w:rsid w:val="0084590D"/>
    <w:rsid w:val="008475D3"/>
    <w:rsid w:val="008477F0"/>
    <w:rsid w:val="008479E2"/>
    <w:rsid w:val="008526A1"/>
    <w:rsid w:val="0085445A"/>
    <w:rsid w:val="008559B5"/>
    <w:rsid w:val="0086497F"/>
    <w:rsid w:val="00872348"/>
    <w:rsid w:val="008725E4"/>
    <w:rsid w:val="008743B8"/>
    <w:rsid w:val="00880056"/>
    <w:rsid w:val="0088064F"/>
    <w:rsid w:val="0088239D"/>
    <w:rsid w:val="008869AE"/>
    <w:rsid w:val="0089610C"/>
    <w:rsid w:val="0089741F"/>
    <w:rsid w:val="00897FB0"/>
    <w:rsid w:val="008A04EE"/>
    <w:rsid w:val="008A19E8"/>
    <w:rsid w:val="008A4919"/>
    <w:rsid w:val="008A5236"/>
    <w:rsid w:val="008A52D1"/>
    <w:rsid w:val="008A7112"/>
    <w:rsid w:val="008B4A62"/>
    <w:rsid w:val="008B4EEF"/>
    <w:rsid w:val="008C1A58"/>
    <w:rsid w:val="008C4785"/>
    <w:rsid w:val="008C5027"/>
    <w:rsid w:val="008C76F9"/>
    <w:rsid w:val="008D2EF4"/>
    <w:rsid w:val="008D31BA"/>
    <w:rsid w:val="008E1DCA"/>
    <w:rsid w:val="008E2B18"/>
    <w:rsid w:val="008E2B52"/>
    <w:rsid w:val="008E3347"/>
    <w:rsid w:val="008E3565"/>
    <w:rsid w:val="008E53AC"/>
    <w:rsid w:val="008F23D1"/>
    <w:rsid w:val="008F3F8E"/>
    <w:rsid w:val="00900870"/>
    <w:rsid w:val="0090199B"/>
    <w:rsid w:val="009031FF"/>
    <w:rsid w:val="009073B2"/>
    <w:rsid w:val="00907787"/>
    <w:rsid w:val="009133C0"/>
    <w:rsid w:val="009142BB"/>
    <w:rsid w:val="00914A32"/>
    <w:rsid w:val="00914B4E"/>
    <w:rsid w:val="00914F8C"/>
    <w:rsid w:val="00916B74"/>
    <w:rsid w:val="00916C5B"/>
    <w:rsid w:val="00916D09"/>
    <w:rsid w:val="00917351"/>
    <w:rsid w:val="00917B9A"/>
    <w:rsid w:val="009211B2"/>
    <w:rsid w:val="00921417"/>
    <w:rsid w:val="00922333"/>
    <w:rsid w:val="00932FC6"/>
    <w:rsid w:val="0093565A"/>
    <w:rsid w:val="00935FC7"/>
    <w:rsid w:val="009367D2"/>
    <w:rsid w:val="009371F0"/>
    <w:rsid w:val="00940AF6"/>
    <w:rsid w:val="00942A37"/>
    <w:rsid w:val="00942A3E"/>
    <w:rsid w:val="0094517F"/>
    <w:rsid w:val="00951723"/>
    <w:rsid w:val="00951EBD"/>
    <w:rsid w:val="00953752"/>
    <w:rsid w:val="00954557"/>
    <w:rsid w:val="009554C8"/>
    <w:rsid w:val="00956011"/>
    <w:rsid w:val="009606AB"/>
    <w:rsid w:val="00965DD4"/>
    <w:rsid w:val="00966A49"/>
    <w:rsid w:val="00970C60"/>
    <w:rsid w:val="00974235"/>
    <w:rsid w:val="00974947"/>
    <w:rsid w:val="00975934"/>
    <w:rsid w:val="00977214"/>
    <w:rsid w:val="00977A21"/>
    <w:rsid w:val="00981FB4"/>
    <w:rsid w:val="009871EC"/>
    <w:rsid w:val="009A1909"/>
    <w:rsid w:val="009A2FD9"/>
    <w:rsid w:val="009A2FF9"/>
    <w:rsid w:val="009A3BFB"/>
    <w:rsid w:val="009B1D01"/>
    <w:rsid w:val="009B1D22"/>
    <w:rsid w:val="009B6FC9"/>
    <w:rsid w:val="009C06C1"/>
    <w:rsid w:val="009C2D08"/>
    <w:rsid w:val="009C3FC9"/>
    <w:rsid w:val="009C745D"/>
    <w:rsid w:val="009C7FC8"/>
    <w:rsid w:val="009D1711"/>
    <w:rsid w:val="009D1A86"/>
    <w:rsid w:val="009D2AAC"/>
    <w:rsid w:val="009D3DCA"/>
    <w:rsid w:val="009D6A74"/>
    <w:rsid w:val="009E172D"/>
    <w:rsid w:val="009E2A1A"/>
    <w:rsid w:val="009E4176"/>
    <w:rsid w:val="009E565A"/>
    <w:rsid w:val="009F0B14"/>
    <w:rsid w:val="009F1F53"/>
    <w:rsid w:val="009F27A8"/>
    <w:rsid w:val="009F3D54"/>
    <w:rsid w:val="009F5A8E"/>
    <w:rsid w:val="009F6D19"/>
    <w:rsid w:val="009F7C29"/>
    <w:rsid w:val="00A04D4D"/>
    <w:rsid w:val="00A05AD5"/>
    <w:rsid w:val="00A116AA"/>
    <w:rsid w:val="00A15B36"/>
    <w:rsid w:val="00A15B6F"/>
    <w:rsid w:val="00A2035D"/>
    <w:rsid w:val="00A23084"/>
    <w:rsid w:val="00A23285"/>
    <w:rsid w:val="00A237DC"/>
    <w:rsid w:val="00A3077D"/>
    <w:rsid w:val="00A3185E"/>
    <w:rsid w:val="00A32D38"/>
    <w:rsid w:val="00A40197"/>
    <w:rsid w:val="00A408AE"/>
    <w:rsid w:val="00A4254F"/>
    <w:rsid w:val="00A43088"/>
    <w:rsid w:val="00A43E1E"/>
    <w:rsid w:val="00A44E71"/>
    <w:rsid w:val="00A46F4F"/>
    <w:rsid w:val="00A52446"/>
    <w:rsid w:val="00A55F2F"/>
    <w:rsid w:val="00A6115E"/>
    <w:rsid w:val="00A61CC8"/>
    <w:rsid w:val="00A6378A"/>
    <w:rsid w:val="00A66A63"/>
    <w:rsid w:val="00A70A29"/>
    <w:rsid w:val="00A70AA2"/>
    <w:rsid w:val="00A72BC0"/>
    <w:rsid w:val="00A73233"/>
    <w:rsid w:val="00A73961"/>
    <w:rsid w:val="00A75BE1"/>
    <w:rsid w:val="00A76FE0"/>
    <w:rsid w:val="00A81E89"/>
    <w:rsid w:val="00A832F6"/>
    <w:rsid w:val="00A90B01"/>
    <w:rsid w:val="00A92D2F"/>
    <w:rsid w:val="00A947B1"/>
    <w:rsid w:val="00A94A44"/>
    <w:rsid w:val="00A95291"/>
    <w:rsid w:val="00A9604E"/>
    <w:rsid w:val="00AA2342"/>
    <w:rsid w:val="00AA3306"/>
    <w:rsid w:val="00AA4A3E"/>
    <w:rsid w:val="00AA576F"/>
    <w:rsid w:val="00AA6536"/>
    <w:rsid w:val="00AB7743"/>
    <w:rsid w:val="00AC3655"/>
    <w:rsid w:val="00AD12D0"/>
    <w:rsid w:val="00AD18F8"/>
    <w:rsid w:val="00AD2CB7"/>
    <w:rsid w:val="00AD3785"/>
    <w:rsid w:val="00AD3F3D"/>
    <w:rsid w:val="00AD7A3A"/>
    <w:rsid w:val="00AE5624"/>
    <w:rsid w:val="00AE5A09"/>
    <w:rsid w:val="00AF0CDD"/>
    <w:rsid w:val="00AF1E16"/>
    <w:rsid w:val="00AF43EA"/>
    <w:rsid w:val="00AF7D9F"/>
    <w:rsid w:val="00B03D3C"/>
    <w:rsid w:val="00B10870"/>
    <w:rsid w:val="00B10F69"/>
    <w:rsid w:val="00B15D32"/>
    <w:rsid w:val="00B17D7C"/>
    <w:rsid w:val="00B20092"/>
    <w:rsid w:val="00B24EDE"/>
    <w:rsid w:val="00B25A62"/>
    <w:rsid w:val="00B30981"/>
    <w:rsid w:val="00B30F72"/>
    <w:rsid w:val="00B35D32"/>
    <w:rsid w:val="00B40291"/>
    <w:rsid w:val="00B40A0A"/>
    <w:rsid w:val="00B4416B"/>
    <w:rsid w:val="00B4423F"/>
    <w:rsid w:val="00B51A4F"/>
    <w:rsid w:val="00B53740"/>
    <w:rsid w:val="00B5614A"/>
    <w:rsid w:val="00B60F3F"/>
    <w:rsid w:val="00B6120A"/>
    <w:rsid w:val="00B62239"/>
    <w:rsid w:val="00B652DA"/>
    <w:rsid w:val="00B673A6"/>
    <w:rsid w:val="00B708AC"/>
    <w:rsid w:val="00B7136B"/>
    <w:rsid w:val="00B73E36"/>
    <w:rsid w:val="00B75959"/>
    <w:rsid w:val="00B75E2B"/>
    <w:rsid w:val="00B80980"/>
    <w:rsid w:val="00B848A5"/>
    <w:rsid w:val="00B8533E"/>
    <w:rsid w:val="00B91F9F"/>
    <w:rsid w:val="00B92A9B"/>
    <w:rsid w:val="00B945DB"/>
    <w:rsid w:val="00B947F5"/>
    <w:rsid w:val="00B9480A"/>
    <w:rsid w:val="00B948A1"/>
    <w:rsid w:val="00B9764B"/>
    <w:rsid w:val="00B979D4"/>
    <w:rsid w:val="00B97BBA"/>
    <w:rsid w:val="00BA058A"/>
    <w:rsid w:val="00BA3A5C"/>
    <w:rsid w:val="00BA4CF0"/>
    <w:rsid w:val="00BA4F8D"/>
    <w:rsid w:val="00BA7009"/>
    <w:rsid w:val="00BB1134"/>
    <w:rsid w:val="00BB33B2"/>
    <w:rsid w:val="00BB3F36"/>
    <w:rsid w:val="00BB75A0"/>
    <w:rsid w:val="00BC28A9"/>
    <w:rsid w:val="00BC30A7"/>
    <w:rsid w:val="00BC327B"/>
    <w:rsid w:val="00BC330C"/>
    <w:rsid w:val="00BC3A8D"/>
    <w:rsid w:val="00BC752D"/>
    <w:rsid w:val="00BD2439"/>
    <w:rsid w:val="00BD3FBF"/>
    <w:rsid w:val="00BE04BE"/>
    <w:rsid w:val="00BE0710"/>
    <w:rsid w:val="00BE1F17"/>
    <w:rsid w:val="00BE40A0"/>
    <w:rsid w:val="00C01724"/>
    <w:rsid w:val="00C04D5E"/>
    <w:rsid w:val="00C07022"/>
    <w:rsid w:val="00C105DA"/>
    <w:rsid w:val="00C10925"/>
    <w:rsid w:val="00C14C19"/>
    <w:rsid w:val="00C1517E"/>
    <w:rsid w:val="00C173D9"/>
    <w:rsid w:val="00C22127"/>
    <w:rsid w:val="00C2384B"/>
    <w:rsid w:val="00C24E5B"/>
    <w:rsid w:val="00C259AA"/>
    <w:rsid w:val="00C264C3"/>
    <w:rsid w:val="00C26874"/>
    <w:rsid w:val="00C311CA"/>
    <w:rsid w:val="00C366A3"/>
    <w:rsid w:val="00C431DD"/>
    <w:rsid w:val="00C45146"/>
    <w:rsid w:val="00C507C8"/>
    <w:rsid w:val="00C51792"/>
    <w:rsid w:val="00C5234F"/>
    <w:rsid w:val="00C52E3C"/>
    <w:rsid w:val="00C53482"/>
    <w:rsid w:val="00C53762"/>
    <w:rsid w:val="00C54798"/>
    <w:rsid w:val="00C560D7"/>
    <w:rsid w:val="00C6151D"/>
    <w:rsid w:val="00C61D32"/>
    <w:rsid w:val="00C62EA1"/>
    <w:rsid w:val="00C63084"/>
    <w:rsid w:val="00C65BEE"/>
    <w:rsid w:val="00C663A8"/>
    <w:rsid w:val="00C66B59"/>
    <w:rsid w:val="00C7026C"/>
    <w:rsid w:val="00C71327"/>
    <w:rsid w:val="00C716E9"/>
    <w:rsid w:val="00C719CC"/>
    <w:rsid w:val="00C731A1"/>
    <w:rsid w:val="00C76BB9"/>
    <w:rsid w:val="00C76DC4"/>
    <w:rsid w:val="00C779DC"/>
    <w:rsid w:val="00C82475"/>
    <w:rsid w:val="00C83460"/>
    <w:rsid w:val="00C84405"/>
    <w:rsid w:val="00C854E0"/>
    <w:rsid w:val="00C9285D"/>
    <w:rsid w:val="00C95864"/>
    <w:rsid w:val="00C962D1"/>
    <w:rsid w:val="00CA067F"/>
    <w:rsid w:val="00CA1D1A"/>
    <w:rsid w:val="00CA7510"/>
    <w:rsid w:val="00CB072E"/>
    <w:rsid w:val="00CB2BAE"/>
    <w:rsid w:val="00CB2BEA"/>
    <w:rsid w:val="00CB4B5D"/>
    <w:rsid w:val="00CB4E86"/>
    <w:rsid w:val="00CB780C"/>
    <w:rsid w:val="00CC00DD"/>
    <w:rsid w:val="00CC0D73"/>
    <w:rsid w:val="00CC3EE2"/>
    <w:rsid w:val="00CC4DE7"/>
    <w:rsid w:val="00CC6A11"/>
    <w:rsid w:val="00CD3EBF"/>
    <w:rsid w:val="00CD552A"/>
    <w:rsid w:val="00CD55CB"/>
    <w:rsid w:val="00CD5D90"/>
    <w:rsid w:val="00CD6859"/>
    <w:rsid w:val="00CE3DE4"/>
    <w:rsid w:val="00CE4BA0"/>
    <w:rsid w:val="00CE5CB6"/>
    <w:rsid w:val="00CE5CEA"/>
    <w:rsid w:val="00CE7668"/>
    <w:rsid w:val="00CF32DC"/>
    <w:rsid w:val="00CF40B3"/>
    <w:rsid w:val="00CF61DA"/>
    <w:rsid w:val="00CF621A"/>
    <w:rsid w:val="00D0330F"/>
    <w:rsid w:val="00D035A8"/>
    <w:rsid w:val="00D04617"/>
    <w:rsid w:val="00D065CC"/>
    <w:rsid w:val="00D075F7"/>
    <w:rsid w:val="00D10F5B"/>
    <w:rsid w:val="00D13CB3"/>
    <w:rsid w:val="00D16047"/>
    <w:rsid w:val="00D1621E"/>
    <w:rsid w:val="00D16B84"/>
    <w:rsid w:val="00D275A5"/>
    <w:rsid w:val="00D30A2A"/>
    <w:rsid w:val="00D319D7"/>
    <w:rsid w:val="00D32A90"/>
    <w:rsid w:val="00D36F1D"/>
    <w:rsid w:val="00D42000"/>
    <w:rsid w:val="00D42840"/>
    <w:rsid w:val="00D44380"/>
    <w:rsid w:val="00D44774"/>
    <w:rsid w:val="00D4649F"/>
    <w:rsid w:val="00D5243B"/>
    <w:rsid w:val="00D5335C"/>
    <w:rsid w:val="00D57C24"/>
    <w:rsid w:val="00D61B7C"/>
    <w:rsid w:val="00D6360D"/>
    <w:rsid w:val="00D6518E"/>
    <w:rsid w:val="00D678FE"/>
    <w:rsid w:val="00D7226B"/>
    <w:rsid w:val="00D734EC"/>
    <w:rsid w:val="00D75D34"/>
    <w:rsid w:val="00D76C82"/>
    <w:rsid w:val="00D8477E"/>
    <w:rsid w:val="00D84E52"/>
    <w:rsid w:val="00D84E72"/>
    <w:rsid w:val="00D868A7"/>
    <w:rsid w:val="00D87C87"/>
    <w:rsid w:val="00D90341"/>
    <w:rsid w:val="00D9041C"/>
    <w:rsid w:val="00D9065C"/>
    <w:rsid w:val="00D932F3"/>
    <w:rsid w:val="00D93852"/>
    <w:rsid w:val="00D94584"/>
    <w:rsid w:val="00D958D0"/>
    <w:rsid w:val="00D96723"/>
    <w:rsid w:val="00DA0A78"/>
    <w:rsid w:val="00DA1012"/>
    <w:rsid w:val="00DA12DE"/>
    <w:rsid w:val="00DB1BB0"/>
    <w:rsid w:val="00DB1E3D"/>
    <w:rsid w:val="00DB21F1"/>
    <w:rsid w:val="00DB5729"/>
    <w:rsid w:val="00DB5EC8"/>
    <w:rsid w:val="00DC1230"/>
    <w:rsid w:val="00DC24B8"/>
    <w:rsid w:val="00DC4398"/>
    <w:rsid w:val="00DC5E35"/>
    <w:rsid w:val="00DD1D7A"/>
    <w:rsid w:val="00DD3F86"/>
    <w:rsid w:val="00DD4A68"/>
    <w:rsid w:val="00DE1152"/>
    <w:rsid w:val="00DE2392"/>
    <w:rsid w:val="00DE2688"/>
    <w:rsid w:val="00DE373A"/>
    <w:rsid w:val="00DE63D4"/>
    <w:rsid w:val="00DE73E6"/>
    <w:rsid w:val="00DF1B0F"/>
    <w:rsid w:val="00DF55B2"/>
    <w:rsid w:val="00DF5820"/>
    <w:rsid w:val="00DF61C8"/>
    <w:rsid w:val="00DF6676"/>
    <w:rsid w:val="00DF6B77"/>
    <w:rsid w:val="00E005FF"/>
    <w:rsid w:val="00E01A92"/>
    <w:rsid w:val="00E03BBB"/>
    <w:rsid w:val="00E06C9C"/>
    <w:rsid w:val="00E20A9D"/>
    <w:rsid w:val="00E24CD1"/>
    <w:rsid w:val="00E262B2"/>
    <w:rsid w:val="00E27615"/>
    <w:rsid w:val="00E302DF"/>
    <w:rsid w:val="00E37DAC"/>
    <w:rsid w:val="00E41F57"/>
    <w:rsid w:val="00E446FD"/>
    <w:rsid w:val="00E44C46"/>
    <w:rsid w:val="00E511AC"/>
    <w:rsid w:val="00E53287"/>
    <w:rsid w:val="00E576DD"/>
    <w:rsid w:val="00E60886"/>
    <w:rsid w:val="00E62210"/>
    <w:rsid w:val="00E630F3"/>
    <w:rsid w:val="00E6619E"/>
    <w:rsid w:val="00E671C9"/>
    <w:rsid w:val="00E7386B"/>
    <w:rsid w:val="00E74E5F"/>
    <w:rsid w:val="00E75EE7"/>
    <w:rsid w:val="00E80A3B"/>
    <w:rsid w:val="00E80C1A"/>
    <w:rsid w:val="00E83DC9"/>
    <w:rsid w:val="00E90AB1"/>
    <w:rsid w:val="00E92218"/>
    <w:rsid w:val="00E970DA"/>
    <w:rsid w:val="00EA039C"/>
    <w:rsid w:val="00EA0971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5E8"/>
    <w:rsid w:val="00EC6DCB"/>
    <w:rsid w:val="00ED16DA"/>
    <w:rsid w:val="00ED1A51"/>
    <w:rsid w:val="00ED359A"/>
    <w:rsid w:val="00EE004F"/>
    <w:rsid w:val="00EE1FB4"/>
    <w:rsid w:val="00EE544B"/>
    <w:rsid w:val="00EE6A22"/>
    <w:rsid w:val="00EE72DC"/>
    <w:rsid w:val="00EF0775"/>
    <w:rsid w:val="00EF33D3"/>
    <w:rsid w:val="00EF518E"/>
    <w:rsid w:val="00EF59F7"/>
    <w:rsid w:val="00EF5C73"/>
    <w:rsid w:val="00F01254"/>
    <w:rsid w:val="00F05A6C"/>
    <w:rsid w:val="00F065F8"/>
    <w:rsid w:val="00F07CF3"/>
    <w:rsid w:val="00F12D7B"/>
    <w:rsid w:val="00F13FCC"/>
    <w:rsid w:val="00F15646"/>
    <w:rsid w:val="00F15991"/>
    <w:rsid w:val="00F175D1"/>
    <w:rsid w:val="00F20A41"/>
    <w:rsid w:val="00F20E9A"/>
    <w:rsid w:val="00F219FA"/>
    <w:rsid w:val="00F22533"/>
    <w:rsid w:val="00F243AD"/>
    <w:rsid w:val="00F24695"/>
    <w:rsid w:val="00F24F22"/>
    <w:rsid w:val="00F25CF5"/>
    <w:rsid w:val="00F26541"/>
    <w:rsid w:val="00F2767A"/>
    <w:rsid w:val="00F30F61"/>
    <w:rsid w:val="00F34781"/>
    <w:rsid w:val="00F42054"/>
    <w:rsid w:val="00F432B9"/>
    <w:rsid w:val="00F43D5B"/>
    <w:rsid w:val="00F43ED4"/>
    <w:rsid w:val="00F45B58"/>
    <w:rsid w:val="00F461B6"/>
    <w:rsid w:val="00F527AE"/>
    <w:rsid w:val="00F569AF"/>
    <w:rsid w:val="00F61CD5"/>
    <w:rsid w:val="00F64BE4"/>
    <w:rsid w:val="00F65584"/>
    <w:rsid w:val="00F6642B"/>
    <w:rsid w:val="00F82E0E"/>
    <w:rsid w:val="00F85228"/>
    <w:rsid w:val="00F85E82"/>
    <w:rsid w:val="00F87588"/>
    <w:rsid w:val="00F90F83"/>
    <w:rsid w:val="00F915BC"/>
    <w:rsid w:val="00F92658"/>
    <w:rsid w:val="00F92E98"/>
    <w:rsid w:val="00F93FF8"/>
    <w:rsid w:val="00F96298"/>
    <w:rsid w:val="00F979C4"/>
    <w:rsid w:val="00FA079F"/>
    <w:rsid w:val="00FA08CC"/>
    <w:rsid w:val="00FA4070"/>
    <w:rsid w:val="00FA450F"/>
    <w:rsid w:val="00FA47FC"/>
    <w:rsid w:val="00FA58DA"/>
    <w:rsid w:val="00FA79E2"/>
    <w:rsid w:val="00FB0138"/>
    <w:rsid w:val="00FB1BE8"/>
    <w:rsid w:val="00FB31B8"/>
    <w:rsid w:val="00FB3F2A"/>
    <w:rsid w:val="00FB5DCE"/>
    <w:rsid w:val="00FC1A37"/>
    <w:rsid w:val="00FC51A5"/>
    <w:rsid w:val="00FC52A0"/>
    <w:rsid w:val="00FC7173"/>
    <w:rsid w:val="00FD1707"/>
    <w:rsid w:val="00FD3F5B"/>
    <w:rsid w:val="00FD4B64"/>
    <w:rsid w:val="00FD515B"/>
    <w:rsid w:val="00FD6B41"/>
    <w:rsid w:val="00FE348B"/>
    <w:rsid w:val="00FE3AB7"/>
    <w:rsid w:val="00FE65DF"/>
    <w:rsid w:val="00FE7BDB"/>
    <w:rsid w:val="00FF07C4"/>
    <w:rsid w:val="00FF0AE3"/>
    <w:rsid w:val="00FF1F75"/>
    <w:rsid w:val="00FF2767"/>
    <w:rsid w:val="00FF3B1D"/>
    <w:rsid w:val="00FF3FDE"/>
    <w:rsid w:val="00FF5B16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0660EE0-BDD8-4619-ACAA-C539CF4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  <w:style w:type="paragraph" w:customStyle="1" w:styleId="Zkladntext311">
    <w:name w:val="Základní text 311"/>
    <w:basedOn w:val="Normln"/>
    <w:rsid w:val="0093565A"/>
    <w:rPr>
      <w:b/>
      <w:sz w:val="20"/>
      <w:szCs w:val="20"/>
    </w:rPr>
  </w:style>
  <w:style w:type="paragraph" w:customStyle="1" w:styleId="VnitrniText">
    <w:name w:val="VnitrniText"/>
    <w:basedOn w:val="Normln"/>
    <w:rsid w:val="003D6567"/>
    <w:pPr>
      <w:suppressAutoHyphens/>
      <w:ind w:firstLine="426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ara">
    <w:name w:val="para"/>
    <w:basedOn w:val="Normln"/>
    <w:rsid w:val="003D6567"/>
    <w:pPr>
      <w:keepNext/>
      <w:tabs>
        <w:tab w:val="left" w:pos="709"/>
      </w:tabs>
      <w:suppressAutoHyphens/>
      <w:jc w:val="center"/>
    </w:pPr>
    <w:rPr>
      <w:rFonts w:ascii="Arial" w:hAnsi="Arial" w:cs="Arial"/>
      <w:b/>
      <w:sz w:val="20"/>
      <w:szCs w:val="20"/>
      <w:lang w:eastAsia="ar-SA"/>
    </w:rPr>
  </w:style>
  <w:style w:type="paragraph" w:customStyle="1" w:styleId="StylDoprava">
    <w:name w:val="Styl Doprava"/>
    <w:basedOn w:val="Normln"/>
    <w:rsid w:val="003D6567"/>
    <w:pPr>
      <w:suppressAutoHyphens/>
      <w:jc w:val="right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E4CB-CD0E-4574-B831-0A6770C5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1414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8</cp:revision>
  <cp:lastPrinted>2024-03-04T09:26:00Z</cp:lastPrinted>
  <dcterms:created xsi:type="dcterms:W3CDTF">2024-11-18T13:13:00Z</dcterms:created>
  <dcterms:modified xsi:type="dcterms:W3CDTF">2024-11-25T11:16:00Z</dcterms:modified>
</cp:coreProperties>
</file>